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9318B" w14:textId="77777777" w:rsidR="0025438A" w:rsidRPr="00234A10" w:rsidRDefault="0025438A" w:rsidP="0025438A">
      <w:pPr>
        <w:spacing w:line="276" w:lineRule="auto"/>
        <w:jc w:val="center"/>
        <w:rPr>
          <w:b/>
          <w:color w:val="000000" w:themeColor="text1"/>
          <w:lang w:val="es-ES"/>
        </w:rPr>
      </w:pPr>
      <w:r w:rsidRPr="00234A10">
        <w:rPr>
          <w:b/>
          <w:color w:val="000000" w:themeColor="text1"/>
          <w:lang w:val="es-ES"/>
        </w:rPr>
        <w:t xml:space="preserve">ACUERDO No. </w:t>
      </w:r>
      <w:permStart w:id="959774767" w:edGrp="everyone"/>
      <w:r w:rsidRPr="00234A10">
        <w:rPr>
          <w:b/>
          <w:color w:val="000000" w:themeColor="text1"/>
          <w:lang w:val="es-ES"/>
        </w:rPr>
        <w:t>XX</w:t>
      </w:r>
      <w:permEnd w:id="959774767"/>
    </w:p>
    <w:p w14:paraId="284E9F01" w14:textId="51EB4995" w:rsidR="0025438A" w:rsidRPr="00234A10" w:rsidRDefault="0025438A" w:rsidP="0025438A">
      <w:pPr>
        <w:spacing w:line="276" w:lineRule="auto"/>
        <w:jc w:val="center"/>
        <w:rPr>
          <w:color w:val="000000" w:themeColor="text1"/>
          <w:lang w:val="es-ES"/>
        </w:rPr>
      </w:pPr>
      <w:r w:rsidRPr="00234A10">
        <w:rPr>
          <w:color w:val="000000" w:themeColor="text1"/>
          <w:lang w:val="es-ES"/>
        </w:rPr>
        <w:t>(</w:t>
      </w:r>
      <w:permStart w:id="462904486" w:edGrp="everyone"/>
      <w:r w:rsidRPr="00234A10">
        <w:rPr>
          <w:color w:val="000000" w:themeColor="text1"/>
          <w:lang w:val="es-ES"/>
        </w:rPr>
        <w:t xml:space="preserve">XX de XXX de </w:t>
      </w:r>
      <w:r w:rsidR="005B051D">
        <w:t>XXX</w:t>
      </w:r>
      <w:permEnd w:id="462904486"/>
      <w:r w:rsidRPr="00234A10">
        <w:rPr>
          <w:color w:val="000000" w:themeColor="text1"/>
          <w:lang w:val="es-ES"/>
        </w:rPr>
        <w:t>)</w:t>
      </w:r>
    </w:p>
    <w:p w14:paraId="6B36A66D" w14:textId="2B1F594E" w:rsidR="0025438A" w:rsidRPr="00234A10" w:rsidRDefault="0025438A" w:rsidP="0025438A">
      <w:pPr>
        <w:spacing w:before="240" w:line="276" w:lineRule="auto"/>
        <w:jc w:val="center"/>
        <w:rPr>
          <w:color w:val="000000" w:themeColor="text1"/>
          <w:lang w:val="es-ES"/>
        </w:rPr>
      </w:pPr>
      <w:r w:rsidRPr="00234A10">
        <w:rPr>
          <w:color w:val="000000" w:themeColor="text1"/>
          <w:lang w:val="es-ES"/>
        </w:rPr>
        <w:t xml:space="preserve">Por medio del cual se crea el </w:t>
      </w:r>
      <w:r w:rsidRPr="00234A10">
        <w:rPr>
          <w:color w:val="000000" w:themeColor="text1"/>
          <w:lang w:val="es-419"/>
        </w:rPr>
        <w:t>Grupo</w:t>
      </w:r>
      <w:r w:rsidRPr="00234A10">
        <w:rPr>
          <w:color w:val="000000" w:themeColor="text1"/>
          <w:lang w:val="es-ES"/>
        </w:rPr>
        <w:t xml:space="preserve"> de Evaluación Continua del Programa de </w:t>
      </w:r>
      <w:permStart w:id="619393618" w:edGrp="everyone"/>
      <w:r w:rsidR="00BB6A1B">
        <w:rPr>
          <w:color w:val="000000" w:themeColor="text1"/>
          <w:lang w:val="es-419"/>
        </w:rPr>
        <w:t>XXX</w:t>
      </w:r>
      <w:permEnd w:id="619393618"/>
      <w:r w:rsidRPr="00234A10">
        <w:rPr>
          <w:color w:val="000000" w:themeColor="text1"/>
          <w:lang w:val="es-ES"/>
        </w:rPr>
        <w:t>, y se dictan otras disposiciones.</w:t>
      </w:r>
    </w:p>
    <w:p w14:paraId="2A9BA53A" w14:textId="239D699E" w:rsidR="0025438A" w:rsidRPr="00234A10" w:rsidRDefault="0025438A" w:rsidP="00EA4F83">
      <w:pPr>
        <w:spacing w:before="240" w:line="276" w:lineRule="auto"/>
        <w:jc w:val="center"/>
        <w:rPr>
          <w:color w:val="000000" w:themeColor="text1"/>
          <w:lang w:val="es-ES"/>
        </w:rPr>
      </w:pPr>
      <w:r w:rsidRPr="00234A10">
        <w:rPr>
          <w:b/>
          <w:color w:val="000000" w:themeColor="text1"/>
          <w:lang w:val="es-ES"/>
        </w:rPr>
        <w:t xml:space="preserve">EL CONSEJO DE FACULTAD DE </w:t>
      </w:r>
      <w:permStart w:id="364868599" w:edGrp="everyone"/>
      <w:r w:rsidR="00746018">
        <w:rPr>
          <w:b/>
          <w:color w:val="000000" w:themeColor="text1"/>
          <w:lang w:val="es-419"/>
        </w:rPr>
        <w:t>XXX</w:t>
      </w:r>
      <w:permEnd w:id="364868599"/>
      <w:r w:rsidRPr="00234A10">
        <w:rPr>
          <w:color w:val="000000" w:themeColor="text1"/>
          <w:lang w:val="es-ES"/>
        </w:rPr>
        <w:t>,</w:t>
      </w:r>
    </w:p>
    <w:p w14:paraId="301E5ED7" w14:textId="77777777" w:rsidR="0025438A" w:rsidRPr="00234A10" w:rsidRDefault="0025438A" w:rsidP="00EA4F83">
      <w:pPr>
        <w:jc w:val="center"/>
      </w:pPr>
      <w:r w:rsidRPr="00234A10">
        <w:t>En uso de sus atribuciones legales y estatutarias, y</w:t>
      </w:r>
    </w:p>
    <w:p w14:paraId="18291D7F" w14:textId="77777777" w:rsidR="0025438A" w:rsidRPr="00234A10" w:rsidRDefault="0025438A" w:rsidP="0025438A">
      <w:pPr>
        <w:spacing w:before="240" w:line="276" w:lineRule="auto"/>
        <w:jc w:val="center"/>
        <w:rPr>
          <w:b/>
          <w:color w:val="000000" w:themeColor="text1"/>
          <w:lang w:val="es-ES"/>
        </w:rPr>
      </w:pPr>
      <w:r w:rsidRPr="00234A10">
        <w:rPr>
          <w:b/>
          <w:color w:val="000000" w:themeColor="text1"/>
          <w:lang w:val="es-ES"/>
        </w:rPr>
        <w:t>CONSIDERANDO QUE:</w:t>
      </w:r>
    </w:p>
    <w:p w14:paraId="7C5D5E3C" w14:textId="77777777" w:rsidR="0025438A" w:rsidRPr="007718A7" w:rsidRDefault="0025438A" w:rsidP="0025438A">
      <w:pPr>
        <w:pStyle w:val="Default"/>
        <w:spacing w:before="240" w:line="276" w:lineRule="auto"/>
        <w:jc w:val="both"/>
        <w:rPr>
          <w:sz w:val="20"/>
          <w:szCs w:val="22"/>
        </w:rPr>
      </w:pPr>
      <w:r w:rsidRPr="00234A10">
        <w:rPr>
          <w:color w:val="131718"/>
          <w:w w:val="105"/>
          <w:sz w:val="22"/>
          <w:lang w:val="es-419"/>
        </w:rPr>
        <w:t>La Ley 30 del 28 de diciembre de 1992 “</w:t>
      </w:r>
      <w:r w:rsidRPr="00234A10">
        <w:rPr>
          <w:i/>
          <w:color w:val="131718"/>
          <w:w w:val="105"/>
          <w:sz w:val="22"/>
          <w:lang w:val="es-419"/>
        </w:rPr>
        <w:t>Por el cual se organiza el servicio público de la educación superior”</w:t>
      </w:r>
      <w:r w:rsidRPr="00234A10">
        <w:rPr>
          <w:color w:val="131718"/>
          <w:w w:val="105"/>
          <w:sz w:val="22"/>
          <w:lang w:val="es-419"/>
        </w:rPr>
        <w:t>, señala que es un objetivo de las Instituciones de Educación Superior profundizar en la formación integral de los colombianos prestando un servicio con calidad, teniendo como referencia</w:t>
      </w:r>
      <w:r w:rsidRPr="007718A7">
        <w:rPr>
          <w:color w:val="131718"/>
          <w:w w:val="105"/>
          <w:sz w:val="22"/>
          <w:lang w:val="es-419"/>
        </w:rPr>
        <w:t xml:space="preserve"> los resultados académicos, los medios y procesos empleados, la infraestructura institucional, las dimensiones cualitativas y cuantitativas del mismo y las condiciones en que se desarrolla cada institución; motivo por el cual el Consejo Nacional de Educación Superior en el Acuerdo No. 06 del 14 de diciembre de 1995, al establecer las Políticas del Sistema Nacional de Acreditación, hace responsable a las instituciones de educación del mejoramiento de su calidad atendiendo al carácter de servicio público y la autonomía otorgada por la Ley.</w:t>
      </w:r>
    </w:p>
    <w:p w14:paraId="24F5207B" w14:textId="77777777" w:rsidR="0025438A" w:rsidRDefault="0025438A" w:rsidP="0025438A">
      <w:pPr>
        <w:pStyle w:val="Default"/>
        <w:spacing w:before="240" w:line="276" w:lineRule="auto"/>
        <w:jc w:val="both"/>
        <w:rPr>
          <w:sz w:val="22"/>
          <w:szCs w:val="22"/>
        </w:rPr>
      </w:pPr>
      <w:r>
        <w:rPr>
          <w:sz w:val="22"/>
          <w:szCs w:val="22"/>
        </w:rPr>
        <w:t>El Acuerdo No. 62 de 2002 emanado del Consejo Superior Universitario, estableció en su artículo 25 que una de las funciones de este órgano colegiado es “</w:t>
      </w:r>
      <w:r>
        <w:rPr>
          <w:i/>
          <w:sz w:val="22"/>
          <w:szCs w:val="22"/>
        </w:rPr>
        <w:t>k) Establecer y supervisar sistemas de autoevaluación institucional, para asegurar los procesos de evaluación externa, con el fin de garantizar los procesos necesarios para la acreditación de la Universidad.</w:t>
      </w:r>
      <w:r>
        <w:rPr>
          <w:sz w:val="22"/>
          <w:szCs w:val="22"/>
        </w:rPr>
        <w:t>”</w:t>
      </w:r>
    </w:p>
    <w:p w14:paraId="6AEBCBBF" w14:textId="77777777" w:rsidR="0025438A" w:rsidRDefault="0025438A" w:rsidP="0025438A">
      <w:pPr>
        <w:spacing w:before="240" w:line="276" w:lineRule="auto"/>
        <w:jc w:val="both"/>
      </w:pPr>
      <w:r w:rsidRPr="00FE4925">
        <w:t xml:space="preserve">Para brindar garantías </w:t>
      </w:r>
      <w:r>
        <w:t>en los procesos</w:t>
      </w:r>
      <w:r w:rsidRPr="00FE4925">
        <w:t xml:space="preserve"> de evaluación, certificación y acreditación de la calidad de la educación superior en Colombia, se ha creado dentro del sistema educativo, el denominado Sistema de Aseguramiento de la Calidad de la Educación Superior conformado por los organismos, las acciones y las estrategias que aplican desde el proceso mismo de creación y establecimiento de una institución de educación superior, hasta el desempeño del profesional que egresa del sistema. </w:t>
      </w:r>
    </w:p>
    <w:p w14:paraId="72F46003" w14:textId="77777777" w:rsidR="0025438A" w:rsidRDefault="0025438A" w:rsidP="0025438A">
      <w:pPr>
        <w:spacing w:before="240" w:line="276" w:lineRule="auto"/>
        <w:jc w:val="both"/>
      </w:pPr>
      <w:r>
        <w:t>Que el Artículo 15 del Acuerdo 02 de 2020 CESU, establece que un proceso de acreditación en alta calidad de un programa académico</w:t>
      </w:r>
      <w:r w:rsidRPr="008A354A">
        <w:t xml:space="preserve"> implica</w:t>
      </w:r>
      <w:r>
        <w:t xml:space="preserve"> </w:t>
      </w:r>
      <w:r w:rsidRPr="008A354A">
        <w:t xml:space="preserve">considerar </w:t>
      </w:r>
      <w:r>
        <w:t>la correlación que debe existir entre los diferentes actores del programa académico, específicamente en el literal b) “</w:t>
      </w:r>
      <w:r w:rsidRPr="00320A62">
        <w:rPr>
          <w:i/>
        </w:rPr>
        <w:t>Estar en consonancia con una sólida cultura de autorregulación y autoevaluación institucional, orientada al mejoramiento continuo y apropiada por la comunidad académica donde participan estudiantes, profesores y egresados.</w:t>
      </w:r>
      <w:r>
        <w:t>”, y en el literal i) “</w:t>
      </w:r>
      <w:r w:rsidRPr="009A1209">
        <w:rPr>
          <w:i/>
        </w:rPr>
        <w:t>Capacidad de impactar a la sociedad y, en particular, a los sectores empresariales públicos y privados, y a todos aquellos otros sectores que sea necesario considerar para tejer relaciones significativas de largo plazo con el entorno, a través de acciones de investigación y proyección social o extensión que muestren resultados evaluables.</w:t>
      </w:r>
      <w:r>
        <w:t>”</w:t>
      </w:r>
    </w:p>
    <w:p w14:paraId="24143639" w14:textId="77777777" w:rsidR="0025438A" w:rsidRPr="00FB0F7A" w:rsidRDefault="0025438A" w:rsidP="0025438A">
      <w:pPr>
        <w:spacing w:before="240" w:line="276" w:lineRule="auto"/>
        <w:jc w:val="both"/>
        <w:rPr>
          <w:color w:val="000000" w:themeColor="text1"/>
        </w:rPr>
      </w:pPr>
      <w:r w:rsidRPr="00FB0F7A">
        <w:rPr>
          <w:color w:val="000000" w:themeColor="text1"/>
        </w:rPr>
        <w:t>El Decreto 1330 de 2019, define el Sistema de Aseguramiento de la Calidad – SAC, como “…</w:t>
      </w:r>
      <w:r w:rsidRPr="00FB0F7A">
        <w:rPr>
          <w:i/>
          <w:color w:val="000000" w:themeColor="text1"/>
        </w:rPr>
        <w:t>el conjunto de instituciones e instancias definidas por el marco normativo vigente, que se articulan por medio de políticas y procesos diseñados, con el propósito de asegurar la calidad de las instituciones y de sus programas</w:t>
      </w:r>
      <w:r w:rsidRPr="00FB0F7A">
        <w:rPr>
          <w:color w:val="000000" w:themeColor="text1"/>
        </w:rPr>
        <w:t xml:space="preserve">”. </w:t>
      </w:r>
    </w:p>
    <w:p w14:paraId="3670E82C" w14:textId="77777777" w:rsidR="0025438A" w:rsidRDefault="0025438A" w:rsidP="0025438A">
      <w:pPr>
        <w:spacing w:before="240" w:line="276" w:lineRule="auto"/>
        <w:jc w:val="both"/>
        <w:rPr>
          <w:color w:val="000000" w:themeColor="text1"/>
        </w:rPr>
      </w:pPr>
      <w:r w:rsidRPr="00FB0F7A">
        <w:rPr>
          <w:color w:val="000000" w:themeColor="text1"/>
        </w:rPr>
        <w:t>A la luz del Decreto 1330 de 2019, “</w:t>
      </w:r>
      <w:r w:rsidRPr="00FB0F7A">
        <w:rPr>
          <w:i/>
          <w:color w:val="000000" w:themeColor="text1"/>
        </w:rPr>
        <w:t>Por el cual se sustituye el Capítulo 2 y se suprime el Capítulo 7 del Título 3 de la Parte 5 del Libro 2 del Decreto 1075 de 2015 - Único Reglamentario del Sector Educación</w:t>
      </w:r>
      <w:r w:rsidRPr="00FB0F7A">
        <w:rPr>
          <w:color w:val="000000" w:themeColor="text1"/>
        </w:rPr>
        <w:t>”, hace referencia a la cultura de la autoevaluación en su artículo 2.5.3.2.3.1., donde expresa, “…</w:t>
      </w:r>
      <w:r w:rsidRPr="00FB0F7A">
        <w:rPr>
          <w:i/>
          <w:iCs/>
          <w:color w:val="000000" w:themeColor="text1"/>
        </w:rPr>
        <w:t xml:space="preserve">la institución deberá contar con un sistema interno de aseguramiento de la calidad que contemple, al menos, lo siguiente…”. </w:t>
      </w:r>
      <w:r w:rsidRPr="00FB0F7A">
        <w:rPr>
          <w:iCs/>
          <w:color w:val="000000" w:themeColor="text1"/>
        </w:rPr>
        <w:t>De igual manera, expone</w:t>
      </w:r>
      <w:r w:rsidRPr="00FB0F7A">
        <w:rPr>
          <w:i/>
          <w:iCs/>
          <w:color w:val="000000" w:themeColor="text1"/>
        </w:rPr>
        <w:t xml:space="preserve"> </w:t>
      </w:r>
      <w:r w:rsidRPr="00FB0F7A">
        <w:rPr>
          <w:iCs/>
          <w:color w:val="000000" w:themeColor="text1"/>
        </w:rPr>
        <w:t>que,</w:t>
      </w:r>
      <w:r w:rsidRPr="00FB0F7A">
        <w:rPr>
          <w:i/>
          <w:iCs/>
          <w:color w:val="000000" w:themeColor="text1"/>
        </w:rPr>
        <w:t xml:space="preserve"> “…con el propósito de promover los mecanismos de autorregulación y autoevaluación de las instituciones, se requiere fortalecer sus sistemas internos de aseguramiento de la calidad, lo cual redundará en la solidez del Sistema de Aseguramiento de la </w:t>
      </w:r>
      <w:r w:rsidRPr="00FB0F7A">
        <w:rPr>
          <w:i/>
          <w:iCs/>
          <w:color w:val="000000" w:themeColor="text1"/>
        </w:rPr>
        <w:lastRenderedPageBreak/>
        <w:t>Calidad de la Educación Superior del país</w:t>
      </w:r>
      <w:r w:rsidRPr="00FB0F7A">
        <w:rPr>
          <w:color w:val="000000" w:themeColor="text1"/>
        </w:rPr>
        <w:t xml:space="preserve">”. </w:t>
      </w:r>
    </w:p>
    <w:p w14:paraId="2487B40E" w14:textId="77777777" w:rsidR="0025438A" w:rsidRDefault="0025438A" w:rsidP="0025438A">
      <w:pPr>
        <w:spacing w:before="240" w:line="276" w:lineRule="auto"/>
        <w:jc w:val="both"/>
      </w:pPr>
      <w:r w:rsidRPr="000B7B36">
        <w:t xml:space="preserve">En el Decreto 1330 en su Artículo 2.5.3.2.3.1.4. Cultura de la autoevaluación, la cual es el conjunto de mecanismos que las instituciones para seguimiento sistemático del cumplimiento de sus objetivos misionales, el análisis de las condiciones que su desarrollo, y las medidas para el mejoramiento continuo. Esta cultura busca garantizar que la oferta y desarrollo de programas académicos se realice en condiciones de calidad y que las instituciones rindan cuentas ante la comunidad, la sociedad y el Estado sobre el servicio educativo que presta. </w:t>
      </w:r>
    </w:p>
    <w:p w14:paraId="2A271BB5" w14:textId="22630984" w:rsidR="00D33CA8" w:rsidRPr="00410796" w:rsidRDefault="00D33CA8" w:rsidP="0025438A">
      <w:pPr>
        <w:spacing w:before="240" w:line="276" w:lineRule="auto"/>
        <w:jc w:val="both"/>
        <w:rPr>
          <w:color w:val="000000" w:themeColor="text1"/>
          <w:lang w:val="es-419"/>
        </w:rPr>
      </w:pPr>
      <w:r>
        <w:rPr>
          <w:lang w:val="es-419"/>
        </w:rPr>
        <w:t>A la luz del Acuerdo No. 24 de 2021, “</w:t>
      </w:r>
      <w:r>
        <w:rPr>
          <w:i/>
          <w:lang w:val="es-419"/>
        </w:rPr>
        <w:t>Por medio del cual se crea el Sistema Interno de Aseguramiento de la Calidad Académica Institución y de Programas Académicos, y se dictan otras disposiciones</w:t>
      </w:r>
      <w:r>
        <w:rPr>
          <w:lang w:val="es-419"/>
        </w:rPr>
        <w:t>” emanado por el Consejo Superior Universitario, estableci</w:t>
      </w:r>
      <w:r w:rsidR="00483115">
        <w:rPr>
          <w:lang w:val="es-419"/>
        </w:rPr>
        <w:t xml:space="preserve">ó en el Capítulo II, Artículo No. 8, a los Grupos de Evaluación Continua de Programas Académicos, como parte de la estructura organizacional del Sistema Interno de Aseguramiento de la Calidad Académica para la Universidad de la Amazonia. De igual manera, en el Artículo </w:t>
      </w:r>
      <w:r w:rsidR="00410796">
        <w:rPr>
          <w:lang w:val="es-419"/>
        </w:rPr>
        <w:t>No. 12, indica que “…</w:t>
      </w:r>
      <w:r w:rsidR="00410796" w:rsidRPr="00410796">
        <w:rPr>
          <w:i/>
          <w:lang w:val="es-419"/>
        </w:rPr>
        <w:t>ser</w:t>
      </w:r>
      <w:r w:rsidR="00410796">
        <w:rPr>
          <w:i/>
          <w:lang w:val="es-419"/>
        </w:rPr>
        <w:t>án los encargados de gestionar los procesos de evaluación con fines de renovación de los registros calificados y/o acreditación de alta calidad, en cada programa”.</w:t>
      </w:r>
      <w:r w:rsidR="00410796">
        <w:rPr>
          <w:lang w:val="es-419"/>
        </w:rPr>
        <w:t xml:space="preserve"> En la misma dirección, en el Artículo No. 14 del acuerdo que antecede, se indica la conformación del Grupo de Evaluación Continua de cada Programa Académico.</w:t>
      </w:r>
    </w:p>
    <w:p w14:paraId="05134F49" w14:textId="77777777" w:rsidR="0025438A" w:rsidRDefault="0025438A" w:rsidP="0025438A">
      <w:pPr>
        <w:spacing w:before="240" w:line="276" w:lineRule="auto"/>
        <w:jc w:val="both"/>
      </w:pPr>
      <w:r w:rsidRPr="00FE0C82">
        <w:t xml:space="preserve">En concordancia con lo planteado anteriormente y para afrontar los procesos de </w:t>
      </w:r>
      <w:r>
        <w:rPr>
          <w:color w:val="000000" w:themeColor="text1"/>
          <w:lang w:val="es-ES"/>
        </w:rPr>
        <w:t>Evaluación Continua</w:t>
      </w:r>
      <w:r w:rsidRPr="00FE0C82">
        <w:t xml:space="preserve"> del Programa en mención, y con el fin de asegurar el cumplimiento de los objetivos propuestos en la realización de procesos tales como: Condiciones Iniciales, Condiciones de Calidad de Programas Académicos, Renovación y Registros Calificados, Extensión de Registros Calificados, Acreditación y Renovación en Alta Calidad, Restructuración Curricular, entre otros procesos de evaluación continua pertinentes, se debe conformar un equipo integrado por los diferentes actores académicos (Estudiantes, Docentes, Egresados, Sector Externo), para que gestione y lidere el desarrollo de los mecanismos, planes y programas a implementar en el programa académico, ante el Consejo Nacional de Acreditación y el Ministerio de Educación Nacional.</w:t>
      </w:r>
    </w:p>
    <w:p w14:paraId="24F5951C" w14:textId="7AE5819C" w:rsidR="0025438A" w:rsidRPr="00FB0072" w:rsidRDefault="0025438A" w:rsidP="0025438A">
      <w:pPr>
        <w:spacing w:before="240" w:line="276" w:lineRule="auto"/>
        <w:jc w:val="both"/>
        <w:rPr>
          <w:rStyle w:val="A6"/>
          <w:rFonts w:eastAsiaTheme="majorEastAsia"/>
          <w:color w:val="000000" w:themeColor="text1"/>
          <w:sz w:val="22"/>
        </w:rPr>
      </w:pPr>
      <w:r w:rsidRPr="00FB0072">
        <w:rPr>
          <w:rStyle w:val="A6"/>
          <w:rFonts w:eastAsiaTheme="majorEastAsia"/>
          <w:color w:val="000000" w:themeColor="text1"/>
          <w:sz w:val="22"/>
        </w:rPr>
        <w:t xml:space="preserve">Que la </w:t>
      </w:r>
      <w:r w:rsidRPr="00FB0072">
        <w:rPr>
          <w:color w:val="000000" w:themeColor="text1"/>
          <w:sz w:val="24"/>
          <w:lang w:val="es-ES"/>
        </w:rPr>
        <w:t>evaluación continua</w:t>
      </w:r>
      <w:r w:rsidRPr="00FB0072">
        <w:rPr>
          <w:rStyle w:val="A6"/>
          <w:rFonts w:eastAsiaTheme="majorEastAsia"/>
          <w:color w:val="000000" w:themeColor="text1"/>
          <w:sz w:val="22"/>
        </w:rPr>
        <w:t xml:space="preserve"> debe convertirse en una práctica permanente del Programa Académico, orientada hacia el mejoramiento de la calidad de la educación y hacia el desarrollo de una cultura de autoformación y rendición de cuentas a la comunidad universitaria, a la sociedad y el Estado.</w:t>
      </w:r>
    </w:p>
    <w:p w14:paraId="51AA2E37" w14:textId="583DCF23" w:rsidR="00FB0072" w:rsidRPr="00AB00EE" w:rsidRDefault="0025438A" w:rsidP="0025438A">
      <w:pPr>
        <w:spacing w:before="240" w:line="276" w:lineRule="auto"/>
        <w:jc w:val="both"/>
        <w:rPr>
          <w:color w:val="000000" w:themeColor="text1"/>
          <w:lang w:val="es-ES"/>
        </w:rPr>
      </w:pPr>
      <w:r w:rsidRPr="00FB0F7A">
        <w:rPr>
          <w:color w:val="000000" w:themeColor="text1"/>
          <w:lang w:val="es-ES"/>
        </w:rPr>
        <w:t xml:space="preserve">Que, por lo anteriormente expuesto, </w:t>
      </w:r>
    </w:p>
    <w:p w14:paraId="7521D18C" w14:textId="77777777" w:rsidR="0025438A" w:rsidRDefault="0025438A" w:rsidP="00FB0072">
      <w:pPr>
        <w:spacing w:line="276" w:lineRule="auto"/>
        <w:jc w:val="center"/>
        <w:rPr>
          <w:b/>
          <w:color w:val="000000" w:themeColor="text1"/>
          <w:lang w:val="es-ES"/>
        </w:rPr>
      </w:pPr>
      <w:r>
        <w:rPr>
          <w:b/>
          <w:color w:val="000000" w:themeColor="text1"/>
          <w:lang w:val="es-ES"/>
        </w:rPr>
        <w:t>ACUERDA:</w:t>
      </w:r>
    </w:p>
    <w:p w14:paraId="2D70D209" w14:textId="433D5C10" w:rsidR="0025438A" w:rsidRDefault="0025438A" w:rsidP="0025438A">
      <w:pPr>
        <w:spacing w:before="240" w:line="276" w:lineRule="auto"/>
        <w:jc w:val="both"/>
        <w:rPr>
          <w:color w:val="000000" w:themeColor="text1"/>
          <w:lang w:val="es-ES"/>
        </w:rPr>
      </w:pPr>
      <w:r w:rsidRPr="00FB0F7A">
        <w:rPr>
          <w:b/>
          <w:color w:val="000000" w:themeColor="text1"/>
          <w:lang w:val="es-ES"/>
        </w:rPr>
        <w:t xml:space="preserve">ARTÍCULO </w:t>
      </w:r>
      <w:r>
        <w:rPr>
          <w:b/>
          <w:color w:val="000000" w:themeColor="text1"/>
          <w:lang w:val="es-ES"/>
        </w:rPr>
        <w:t>1</w:t>
      </w:r>
      <w:r w:rsidRPr="00FB0F7A">
        <w:rPr>
          <w:b/>
          <w:color w:val="000000" w:themeColor="text1"/>
          <w:lang w:val="es-ES"/>
        </w:rPr>
        <w:t xml:space="preserve">. </w:t>
      </w:r>
      <w:r>
        <w:rPr>
          <w:b/>
          <w:color w:val="000000" w:themeColor="text1"/>
          <w:lang w:val="es-ES"/>
        </w:rPr>
        <w:t xml:space="preserve">CREAR. </w:t>
      </w:r>
      <w:r>
        <w:rPr>
          <w:color w:val="000000" w:themeColor="text1"/>
          <w:lang w:val="es-ES"/>
        </w:rPr>
        <w:t xml:space="preserve">El </w:t>
      </w:r>
      <w:r>
        <w:rPr>
          <w:color w:val="000000" w:themeColor="text1"/>
          <w:lang w:val="es-419"/>
        </w:rPr>
        <w:t>Grupo</w:t>
      </w:r>
      <w:r>
        <w:rPr>
          <w:color w:val="000000" w:themeColor="text1"/>
          <w:lang w:val="es-ES"/>
        </w:rPr>
        <w:t xml:space="preserve"> de Evaluación Continua del Programa Académico de </w:t>
      </w:r>
      <w:permStart w:id="1492286834" w:edGrp="everyone"/>
      <w:r w:rsidR="00A957E8">
        <w:rPr>
          <w:color w:val="000000" w:themeColor="text1"/>
          <w:lang w:val="es-419"/>
        </w:rPr>
        <w:t>XXX</w:t>
      </w:r>
      <w:permEnd w:id="1492286834"/>
      <w:r>
        <w:rPr>
          <w:color w:val="000000" w:themeColor="text1"/>
          <w:lang w:val="es-ES"/>
        </w:rPr>
        <w:t>, el cual tendrá a su cargo la gestión de los procesos de Registros Calificados y Acreditación de Alta Calidad.</w:t>
      </w:r>
    </w:p>
    <w:p w14:paraId="5C366594" w14:textId="77777777" w:rsidR="0025438A" w:rsidRDefault="0025438A" w:rsidP="0025438A">
      <w:pPr>
        <w:spacing w:before="240" w:line="276" w:lineRule="auto"/>
        <w:jc w:val="both"/>
        <w:rPr>
          <w:color w:val="000000" w:themeColor="text1"/>
          <w:lang w:val="es-ES"/>
        </w:rPr>
      </w:pPr>
      <w:r w:rsidRPr="00FB0F7A">
        <w:rPr>
          <w:b/>
          <w:color w:val="000000" w:themeColor="text1"/>
          <w:lang w:val="es-ES"/>
        </w:rPr>
        <w:t xml:space="preserve">ARTÍCULO </w:t>
      </w:r>
      <w:r>
        <w:rPr>
          <w:b/>
          <w:color w:val="000000" w:themeColor="text1"/>
          <w:lang w:val="es-ES"/>
        </w:rPr>
        <w:t>2</w:t>
      </w:r>
      <w:r w:rsidRPr="00FB0F7A">
        <w:rPr>
          <w:b/>
          <w:color w:val="000000" w:themeColor="text1"/>
          <w:lang w:val="es-ES"/>
        </w:rPr>
        <w:t xml:space="preserve">. </w:t>
      </w:r>
      <w:r>
        <w:rPr>
          <w:b/>
          <w:color w:val="000000" w:themeColor="text1"/>
          <w:lang w:val="es-419"/>
        </w:rPr>
        <w:t>CONFORMACIÓN</w:t>
      </w:r>
      <w:r>
        <w:rPr>
          <w:b/>
          <w:color w:val="000000" w:themeColor="text1"/>
          <w:lang w:val="es-ES"/>
        </w:rPr>
        <w:t xml:space="preserve">. </w:t>
      </w:r>
      <w:r>
        <w:rPr>
          <w:color w:val="000000" w:themeColor="text1"/>
          <w:lang w:val="es-ES"/>
        </w:rPr>
        <w:t xml:space="preserve">El </w:t>
      </w:r>
      <w:r>
        <w:rPr>
          <w:color w:val="000000" w:themeColor="text1"/>
          <w:lang w:val="es-419"/>
        </w:rPr>
        <w:t>Grupo</w:t>
      </w:r>
      <w:r>
        <w:rPr>
          <w:color w:val="000000" w:themeColor="text1"/>
          <w:lang w:val="es-ES"/>
        </w:rPr>
        <w:t xml:space="preserve"> de Evaluación Continua del Programa Académico, estará conformado por: </w:t>
      </w:r>
    </w:p>
    <w:p w14:paraId="18809231" w14:textId="77777777" w:rsidR="0025438A" w:rsidRPr="001D159A" w:rsidRDefault="0025438A" w:rsidP="0025438A">
      <w:pPr>
        <w:pStyle w:val="Prrafodelista"/>
        <w:widowControl/>
        <w:numPr>
          <w:ilvl w:val="0"/>
          <w:numId w:val="19"/>
        </w:numPr>
        <w:autoSpaceDE/>
        <w:autoSpaceDN/>
        <w:spacing w:before="240" w:after="200" w:line="276" w:lineRule="auto"/>
        <w:contextualSpacing/>
        <w:jc w:val="both"/>
        <w:rPr>
          <w:color w:val="000000" w:themeColor="text1"/>
          <w:lang w:val="es-ES"/>
        </w:rPr>
      </w:pPr>
      <w:r w:rsidRPr="00FB0F7A">
        <w:rPr>
          <w:color w:val="000000" w:themeColor="text1"/>
          <w:lang w:val="es-ES"/>
        </w:rPr>
        <w:t xml:space="preserve">Coordinador del Programa Académico, quien lo preside. </w:t>
      </w:r>
    </w:p>
    <w:p w14:paraId="17752D7B" w14:textId="77777777" w:rsidR="0025438A" w:rsidRPr="00FB0F7A" w:rsidRDefault="0025438A" w:rsidP="0025438A">
      <w:pPr>
        <w:pStyle w:val="Prrafodelista"/>
        <w:widowControl/>
        <w:numPr>
          <w:ilvl w:val="0"/>
          <w:numId w:val="19"/>
        </w:numPr>
        <w:autoSpaceDE/>
        <w:autoSpaceDN/>
        <w:spacing w:before="240" w:after="200" w:line="276" w:lineRule="auto"/>
        <w:contextualSpacing/>
        <w:jc w:val="both"/>
        <w:rPr>
          <w:color w:val="000000" w:themeColor="text1"/>
          <w:lang w:val="es-ES"/>
        </w:rPr>
      </w:pPr>
      <w:r>
        <w:rPr>
          <w:color w:val="000000" w:themeColor="text1"/>
          <w:lang w:val="es-ES"/>
        </w:rPr>
        <w:t>Tres (3</w:t>
      </w:r>
      <w:r w:rsidRPr="00FB0F7A">
        <w:rPr>
          <w:color w:val="000000" w:themeColor="text1"/>
          <w:lang w:val="es-ES"/>
        </w:rPr>
        <w:t xml:space="preserve">) Representantes de los Docentes </w:t>
      </w:r>
      <w:r>
        <w:rPr>
          <w:color w:val="000000" w:themeColor="text1"/>
          <w:lang w:val="es-ES"/>
        </w:rPr>
        <w:t xml:space="preserve">de Planta </w:t>
      </w:r>
      <w:r w:rsidRPr="00FB0F7A">
        <w:rPr>
          <w:color w:val="000000" w:themeColor="text1"/>
          <w:lang w:val="es-ES"/>
        </w:rPr>
        <w:t xml:space="preserve">(uno será el coordinador del proceso de </w:t>
      </w:r>
      <w:r>
        <w:rPr>
          <w:color w:val="000000" w:themeColor="text1"/>
          <w:lang w:val="es-ES"/>
        </w:rPr>
        <w:t>evaluación continua</w:t>
      </w:r>
      <w:r w:rsidRPr="00FB0F7A">
        <w:rPr>
          <w:color w:val="000000" w:themeColor="text1"/>
          <w:lang w:val="es-ES"/>
        </w:rPr>
        <w:t xml:space="preserve">). </w:t>
      </w:r>
    </w:p>
    <w:p w14:paraId="055E8CB2" w14:textId="12E2E24E" w:rsidR="0025438A" w:rsidRPr="00FB0F7A" w:rsidRDefault="0025438A" w:rsidP="0025438A">
      <w:pPr>
        <w:pStyle w:val="Prrafodelista"/>
        <w:widowControl/>
        <w:numPr>
          <w:ilvl w:val="0"/>
          <w:numId w:val="19"/>
        </w:numPr>
        <w:autoSpaceDE/>
        <w:autoSpaceDN/>
        <w:spacing w:before="240" w:after="200" w:line="276" w:lineRule="auto"/>
        <w:contextualSpacing/>
        <w:jc w:val="both"/>
        <w:rPr>
          <w:color w:val="000000" w:themeColor="text1"/>
          <w:lang w:val="es-ES"/>
        </w:rPr>
      </w:pPr>
      <w:r w:rsidRPr="00FB0F7A">
        <w:rPr>
          <w:color w:val="000000" w:themeColor="text1"/>
          <w:lang w:val="es-ES"/>
        </w:rPr>
        <w:t xml:space="preserve">Un (1) Representante de los </w:t>
      </w:r>
      <w:r w:rsidR="005F53DD">
        <w:rPr>
          <w:color w:val="000000" w:themeColor="text1"/>
          <w:lang w:val="es-419"/>
        </w:rPr>
        <w:t>e</w:t>
      </w:r>
      <w:r w:rsidRPr="00FB0F7A">
        <w:rPr>
          <w:color w:val="000000" w:themeColor="text1"/>
          <w:lang w:val="es-ES"/>
        </w:rPr>
        <w:t>studiantes del respectivo Programa Académico.</w:t>
      </w:r>
    </w:p>
    <w:p w14:paraId="1748474F" w14:textId="088E7A02" w:rsidR="0025438A" w:rsidRDefault="0025438A" w:rsidP="0025438A">
      <w:pPr>
        <w:pStyle w:val="Prrafodelista"/>
        <w:widowControl/>
        <w:numPr>
          <w:ilvl w:val="0"/>
          <w:numId w:val="19"/>
        </w:numPr>
        <w:autoSpaceDE/>
        <w:autoSpaceDN/>
        <w:spacing w:before="240" w:after="200" w:line="276" w:lineRule="auto"/>
        <w:contextualSpacing/>
        <w:jc w:val="both"/>
        <w:rPr>
          <w:color w:val="000000" w:themeColor="text1"/>
          <w:lang w:val="es-ES"/>
        </w:rPr>
      </w:pPr>
      <w:r w:rsidRPr="00FB0F7A">
        <w:rPr>
          <w:color w:val="000000" w:themeColor="text1"/>
          <w:lang w:val="es-ES"/>
        </w:rPr>
        <w:t xml:space="preserve">Un (1) Representante de los </w:t>
      </w:r>
      <w:r w:rsidR="005F53DD">
        <w:rPr>
          <w:color w:val="000000" w:themeColor="text1"/>
          <w:lang w:val="es-419"/>
        </w:rPr>
        <w:t>e</w:t>
      </w:r>
      <w:r w:rsidRPr="00FB0F7A">
        <w:rPr>
          <w:color w:val="000000" w:themeColor="text1"/>
          <w:lang w:val="es-ES"/>
        </w:rPr>
        <w:t>gresados del respectivo Programa Académico.</w:t>
      </w:r>
    </w:p>
    <w:p w14:paraId="4AE44F7B" w14:textId="56029092" w:rsidR="0025438A" w:rsidRPr="00FB0F7A" w:rsidRDefault="0025438A" w:rsidP="0025438A">
      <w:pPr>
        <w:pStyle w:val="Prrafodelista"/>
        <w:widowControl/>
        <w:numPr>
          <w:ilvl w:val="0"/>
          <w:numId w:val="19"/>
        </w:numPr>
        <w:autoSpaceDE/>
        <w:autoSpaceDN/>
        <w:spacing w:before="240" w:after="200" w:line="276" w:lineRule="auto"/>
        <w:contextualSpacing/>
        <w:jc w:val="both"/>
        <w:rPr>
          <w:color w:val="000000" w:themeColor="text1"/>
          <w:lang w:val="es-ES"/>
        </w:rPr>
      </w:pPr>
      <w:r>
        <w:rPr>
          <w:color w:val="000000" w:themeColor="text1"/>
          <w:lang w:val="es-ES"/>
        </w:rPr>
        <w:t xml:space="preserve">Un (1) Representante del </w:t>
      </w:r>
      <w:r w:rsidR="005F53DD">
        <w:rPr>
          <w:color w:val="000000" w:themeColor="text1"/>
          <w:lang w:val="es-419"/>
        </w:rPr>
        <w:t>s</w:t>
      </w:r>
      <w:r>
        <w:rPr>
          <w:color w:val="000000" w:themeColor="text1"/>
          <w:lang w:val="es-ES"/>
        </w:rPr>
        <w:t xml:space="preserve">ector </w:t>
      </w:r>
      <w:r w:rsidR="005F53DD">
        <w:rPr>
          <w:color w:val="000000" w:themeColor="text1"/>
          <w:lang w:val="es-419"/>
        </w:rPr>
        <w:t>p</w:t>
      </w:r>
      <w:r>
        <w:rPr>
          <w:color w:val="000000" w:themeColor="text1"/>
          <w:lang w:val="es-ES"/>
        </w:rPr>
        <w:t xml:space="preserve">roductivo del respectivo Programa Académico. </w:t>
      </w:r>
    </w:p>
    <w:p w14:paraId="33C9FAD9" w14:textId="77777777" w:rsidR="0025438A" w:rsidRPr="00FA0008" w:rsidRDefault="0025438A" w:rsidP="0025438A">
      <w:pPr>
        <w:spacing w:before="240" w:line="276" w:lineRule="auto"/>
        <w:ind w:left="720"/>
        <w:jc w:val="both"/>
        <w:rPr>
          <w:color w:val="000000" w:themeColor="text1"/>
          <w:szCs w:val="24"/>
          <w:lang w:val="es-ES"/>
        </w:rPr>
      </w:pPr>
      <w:r w:rsidRPr="00FA0008">
        <w:rPr>
          <w:b/>
          <w:color w:val="000000" w:themeColor="text1"/>
          <w:szCs w:val="24"/>
          <w:lang w:val="es-ES"/>
        </w:rPr>
        <w:t xml:space="preserve">PARÁGRAFO PRIMERO. </w:t>
      </w:r>
      <w:r w:rsidRPr="00FA0008">
        <w:rPr>
          <w:color w:val="000000" w:themeColor="text1"/>
          <w:szCs w:val="24"/>
          <w:lang w:val="es-ES"/>
        </w:rPr>
        <w:t xml:space="preserve">El Consejo de Facultad, </w:t>
      </w:r>
      <w:r w:rsidRPr="00FA0008">
        <w:rPr>
          <w:color w:val="000000" w:themeColor="text1"/>
          <w:szCs w:val="24"/>
          <w:lang w:val="es-419"/>
        </w:rPr>
        <w:t>aprobará la conformación del Grupo de Evaluación Continua de Programas por medio de un Acuerdo, previo aval del Comité de Currículo del programa respectivo. El Comité de Currículo a su vez deberá remitir el nombre de los representantes designados a cada uno de los estamentos</w:t>
      </w:r>
      <w:r w:rsidRPr="00FA0008">
        <w:rPr>
          <w:color w:val="000000" w:themeColor="text1"/>
          <w:szCs w:val="24"/>
          <w:lang w:val="es-ES"/>
        </w:rPr>
        <w:t>.</w:t>
      </w:r>
    </w:p>
    <w:p w14:paraId="66A93683" w14:textId="5FE611A8" w:rsidR="0025438A" w:rsidRPr="00FA0008" w:rsidRDefault="0025438A" w:rsidP="0025438A">
      <w:pPr>
        <w:pStyle w:val="Default"/>
        <w:spacing w:before="240" w:line="276" w:lineRule="auto"/>
        <w:ind w:left="720"/>
        <w:jc w:val="both"/>
        <w:rPr>
          <w:sz w:val="22"/>
          <w:lang w:val="es-419"/>
        </w:rPr>
      </w:pPr>
      <w:r w:rsidRPr="00FA0008">
        <w:rPr>
          <w:b/>
          <w:bCs/>
          <w:sz w:val="22"/>
        </w:rPr>
        <w:lastRenderedPageBreak/>
        <w:t xml:space="preserve">PARÁGRAFO SEGUNDO. </w:t>
      </w:r>
      <w:r w:rsidR="00C26BE6">
        <w:rPr>
          <w:sz w:val="22"/>
          <w:lang w:val="es-419"/>
        </w:rPr>
        <w:t>Para el caso de programas de pregrado, el</w:t>
      </w:r>
      <w:r w:rsidRPr="00FA0008">
        <w:rPr>
          <w:sz w:val="22"/>
          <w:lang w:val="es-419"/>
        </w:rPr>
        <w:t xml:space="preserve"> Comité de </w:t>
      </w:r>
      <w:r w:rsidR="00C26BE6">
        <w:rPr>
          <w:sz w:val="22"/>
          <w:lang w:val="es-419"/>
        </w:rPr>
        <w:t xml:space="preserve">Currículo será el </w:t>
      </w:r>
      <w:r w:rsidR="00A91701">
        <w:rPr>
          <w:sz w:val="22"/>
          <w:lang w:val="es-419"/>
        </w:rPr>
        <w:t>encargado</w:t>
      </w:r>
      <w:r w:rsidR="00C26BE6">
        <w:rPr>
          <w:sz w:val="22"/>
          <w:lang w:val="es-419"/>
        </w:rPr>
        <w:t xml:space="preserve"> de postular y designar todos</w:t>
      </w:r>
      <w:r w:rsidRPr="00FA0008">
        <w:rPr>
          <w:sz w:val="22"/>
          <w:lang w:val="es-419"/>
        </w:rPr>
        <w:t xml:space="preserve"> los representantes que harán parte del Grupo de Evaluación Continua. Las postulaciones y designación quedarán registradas en el </w:t>
      </w:r>
      <w:r w:rsidR="00D91806">
        <w:rPr>
          <w:sz w:val="22"/>
          <w:lang w:val="es-419"/>
        </w:rPr>
        <w:t>a</w:t>
      </w:r>
      <w:r w:rsidRPr="00FA0008">
        <w:rPr>
          <w:sz w:val="22"/>
          <w:lang w:val="es-419"/>
        </w:rPr>
        <w:t>cta de la sesión respectiva.</w:t>
      </w:r>
    </w:p>
    <w:p w14:paraId="30F66CD6" w14:textId="7154B3B0" w:rsidR="004B652D" w:rsidRDefault="0025438A" w:rsidP="0025438A">
      <w:pPr>
        <w:spacing w:before="240" w:line="276" w:lineRule="auto"/>
        <w:ind w:left="720"/>
        <w:jc w:val="both"/>
        <w:rPr>
          <w:lang w:val="es-419"/>
        </w:rPr>
      </w:pPr>
      <w:r w:rsidRPr="00FA0008">
        <w:rPr>
          <w:b/>
          <w:bCs/>
          <w:szCs w:val="24"/>
          <w:lang w:val="es-419"/>
        </w:rPr>
        <w:t xml:space="preserve">PARÁGRAFO </w:t>
      </w:r>
      <w:r w:rsidRPr="00FA0008">
        <w:rPr>
          <w:b/>
          <w:szCs w:val="24"/>
          <w:lang w:val="es-419"/>
        </w:rPr>
        <w:t>TERCERO</w:t>
      </w:r>
      <w:r w:rsidR="004B652D" w:rsidRPr="00FA0008">
        <w:rPr>
          <w:b/>
          <w:bCs/>
        </w:rPr>
        <w:t xml:space="preserve">. </w:t>
      </w:r>
      <w:r w:rsidR="004B652D">
        <w:rPr>
          <w:lang w:val="es-419"/>
        </w:rPr>
        <w:t>Para el caso de programas de posgrado, el</w:t>
      </w:r>
      <w:r w:rsidR="004B652D" w:rsidRPr="00FA0008">
        <w:rPr>
          <w:lang w:val="es-419"/>
        </w:rPr>
        <w:t xml:space="preserve"> Comité </w:t>
      </w:r>
      <w:r w:rsidR="004B652D">
        <w:rPr>
          <w:lang w:val="es-419"/>
        </w:rPr>
        <w:t xml:space="preserve">Asesor será el </w:t>
      </w:r>
      <w:r w:rsidR="00A91701">
        <w:rPr>
          <w:lang w:val="es-419"/>
        </w:rPr>
        <w:t>encargado</w:t>
      </w:r>
      <w:r w:rsidR="004B652D">
        <w:rPr>
          <w:lang w:val="es-419"/>
        </w:rPr>
        <w:t xml:space="preserve"> de postular y designar todos</w:t>
      </w:r>
      <w:r w:rsidR="004B652D" w:rsidRPr="00FA0008">
        <w:rPr>
          <w:lang w:val="es-419"/>
        </w:rPr>
        <w:t xml:space="preserve"> los representantes que harán parte del Grupo de Evaluación Continua. Las postulaciones y designación quedarán registradas en el </w:t>
      </w:r>
      <w:r w:rsidR="00D91806">
        <w:rPr>
          <w:lang w:val="es-419"/>
        </w:rPr>
        <w:t>a</w:t>
      </w:r>
      <w:r w:rsidR="004B652D" w:rsidRPr="00FA0008">
        <w:rPr>
          <w:lang w:val="es-419"/>
        </w:rPr>
        <w:t>cta de la sesión respectiva.</w:t>
      </w:r>
    </w:p>
    <w:p w14:paraId="7A649003" w14:textId="30BDFC71" w:rsidR="009024C5" w:rsidRDefault="009024C5" w:rsidP="00FE234A">
      <w:pPr>
        <w:spacing w:before="240" w:line="276" w:lineRule="auto"/>
        <w:ind w:left="720"/>
        <w:jc w:val="both"/>
        <w:rPr>
          <w:lang w:val="es-419"/>
        </w:rPr>
      </w:pPr>
      <w:r w:rsidRPr="00FA0008">
        <w:rPr>
          <w:b/>
          <w:bCs/>
          <w:szCs w:val="24"/>
          <w:lang w:val="es-419"/>
        </w:rPr>
        <w:t xml:space="preserve">PARÁGRAFO </w:t>
      </w:r>
      <w:r>
        <w:rPr>
          <w:b/>
          <w:szCs w:val="24"/>
          <w:lang w:val="es-419"/>
        </w:rPr>
        <w:t>CUARTO</w:t>
      </w:r>
      <w:r w:rsidRPr="00FA0008">
        <w:rPr>
          <w:b/>
          <w:bCs/>
        </w:rPr>
        <w:t xml:space="preserve">. </w:t>
      </w:r>
      <w:r w:rsidR="00071667">
        <w:rPr>
          <w:lang w:val="es-419"/>
        </w:rPr>
        <w:t>Para el adecuado desarrollo de los procesos de evaluación con fines de renovación del registro calificado y/o acreditación de alta calidad, a los docentes que componen el Grupo de Evaluación Continua de Programas se les asignará dentro de la labor académica un número de horas semanales, de conformidad con las normas institucionales vigentes.</w:t>
      </w:r>
    </w:p>
    <w:p w14:paraId="1F630365" w14:textId="2C576B59" w:rsidR="0025438A" w:rsidRPr="00FA0008" w:rsidRDefault="0025438A" w:rsidP="0025438A">
      <w:pPr>
        <w:spacing w:before="240" w:line="276" w:lineRule="auto"/>
        <w:ind w:left="720"/>
        <w:jc w:val="both"/>
        <w:rPr>
          <w:szCs w:val="24"/>
          <w:lang w:val="es-419"/>
        </w:rPr>
      </w:pPr>
      <w:r w:rsidRPr="00FA0008">
        <w:rPr>
          <w:b/>
          <w:szCs w:val="24"/>
          <w:lang w:val="es-419"/>
        </w:rPr>
        <w:t xml:space="preserve">PARÁGRAFO </w:t>
      </w:r>
      <w:r w:rsidR="00FE234A">
        <w:rPr>
          <w:b/>
          <w:color w:val="000000" w:themeColor="text1"/>
          <w:szCs w:val="24"/>
          <w:lang w:val="es-419"/>
        </w:rPr>
        <w:t>QUINTO</w:t>
      </w:r>
      <w:r w:rsidRPr="00FA0008">
        <w:rPr>
          <w:b/>
          <w:szCs w:val="24"/>
          <w:lang w:val="es-419"/>
        </w:rPr>
        <w:t xml:space="preserve">. </w:t>
      </w:r>
      <w:r w:rsidRPr="00FA0008">
        <w:rPr>
          <w:szCs w:val="24"/>
          <w:lang w:val="es-419"/>
        </w:rPr>
        <w:t xml:space="preserve">Excepcionalmente, en caso que el programa académico no tenga docentes de planta disponible, previa justificación y para el adecuado desarrollo del proceso, el Comité de Currículo podrá designar a docentes ocasionales preferiblemente de tiempo completo, de no ser posible lo anterior, podrá acudir a máximo un docente catedrático, designación que deberá ser analizada y aprobada por el Consejo de Facultad respectivo. La designación y continuidad en el </w:t>
      </w:r>
      <w:r w:rsidRPr="00FA0008">
        <w:rPr>
          <w:color w:val="000000" w:themeColor="text1"/>
          <w:szCs w:val="24"/>
          <w:lang w:val="es-419"/>
        </w:rPr>
        <w:t>Grupo de Evaluación Continua</w:t>
      </w:r>
      <w:r w:rsidRPr="00FA0008">
        <w:rPr>
          <w:szCs w:val="24"/>
          <w:lang w:val="es-419"/>
        </w:rPr>
        <w:t xml:space="preserve"> de los docentes ocasionales y catedráticos está supeditada a la vinculación laboral del docente con la institución.</w:t>
      </w:r>
    </w:p>
    <w:p w14:paraId="3485FEC7" w14:textId="7F900F3F" w:rsidR="0025438A" w:rsidRPr="00FA0008" w:rsidRDefault="0025438A" w:rsidP="0025438A">
      <w:pPr>
        <w:spacing w:before="240" w:line="276" w:lineRule="auto"/>
        <w:ind w:left="720"/>
        <w:jc w:val="both"/>
        <w:rPr>
          <w:color w:val="000000" w:themeColor="text1"/>
          <w:szCs w:val="24"/>
          <w:lang w:val="es-419"/>
        </w:rPr>
      </w:pPr>
      <w:r w:rsidRPr="00FA0008">
        <w:rPr>
          <w:b/>
          <w:color w:val="000000" w:themeColor="text1"/>
          <w:szCs w:val="24"/>
          <w:lang w:val="es-419"/>
        </w:rPr>
        <w:t xml:space="preserve">PARÁGRAFO </w:t>
      </w:r>
      <w:r w:rsidR="00FE234A">
        <w:rPr>
          <w:b/>
          <w:color w:val="000000" w:themeColor="text1"/>
          <w:szCs w:val="24"/>
          <w:lang w:val="es-419"/>
        </w:rPr>
        <w:t>SEXTO</w:t>
      </w:r>
      <w:r w:rsidRPr="00FA0008">
        <w:rPr>
          <w:b/>
          <w:color w:val="000000" w:themeColor="text1"/>
          <w:szCs w:val="24"/>
          <w:lang w:val="es-419"/>
        </w:rPr>
        <w:t xml:space="preserve">. </w:t>
      </w:r>
      <w:r w:rsidRPr="00FA0008">
        <w:rPr>
          <w:color w:val="000000" w:themeColor="text1"/>
          <w:szCs w:val="24"/>
          <w:lang w:val="es-419"/>
        </w:rPr>
        <w:t xml:space="preserve">Los programas académicos de </w:t>
      </w:r>
      <w:r w:rsidR="006B2482">
        <w:rPr>
          <w:color w:val="000000" w:themeColor="text1"/>
          <w:szCs w:val="24"/>
          <w:lang w:val="es-419"/>
        </w:rPr>
        <w:t>p</w:t>
      </w:r>
      <w:r w:rsidRPr="00FA0008">
        <w:rPr>
          <w:color w:val="000000" w:themeColor="text1"/>
          <w:szCs w:val="24"/>
          <w:lang w:val="es-419"/>
        </w:rPr>
        <w:t>ostgrados que no tienen docentes de planta para que integren el Grupo de Evaluación Continua, podrán designar docentes de planta o en su defecto docentes ocasionales de tiempo completo de Pregrado afín, con experiencia en evaluación continua y en el área del programa de Postgrado que los requieren. Los docentes designados deben estar adscritos a la Facultad de la cual es el programa de Postgrado y tener previamente aval de su Comité de Currículo.</w:t>
      </w:r>
    </w:p>
    <w:p w14:paraId="138BDDE8" w14:textId="0956E43D" w:rsidR="0025438A" w:rsidRPr="00FA0008" w:rsidRDefault="0025438A" w:rsidP="0025438A">
      <w:pPr>
        <w:spacing w:before="240" w:line="276" w:lineRule="auto"/>
        <w:ind w:left="720"/>
        <w:jc w:val="both"/>
        <w:rPr>
          <w:color w:val="000000" w:themeColor="text1"/>
          <w:szCs w:val="24"/>
          <w:lang w:val="es-ES"/>
        </w:rPr>
      </w:pPr>
      <w:r w:rsidRPr="00FA0008">
        <w:rPr>
          <w:b/>
          <w:color w:val="000000" w:themeColor="text1"/>
          <w:szCs w:val="24"/>
          <w:lang w:val="es-ES"/>
        </w:rPr>
        <w:t xml:space="preserve">PARÁGRAFO </w:t>
      </w:r>
      <w:r w:rsidR="006B2482">
        <w:rPr>
          <w:b/>
          <w:color w:val="000000" w:themeColor="text1"/>
          <w:szCs w:val="24"/>
          <w:lang w:val="es-419"/>
        </w:rPr>
        <w:t>SÉPTIMO</w:t>
      </w:r>
      <w:r w:rsidRPr="00FA0008">
        <w:rPr>
          <w:b/>
          <w:color w:val="000000" w:themeColor="text1"/>
          <w:szCs w:val="24"/>
          <w:lang w:val="es-ES"/>
        </w:rPr>
        <w:t xml:space="preserve">. </w:t>
      </w:r>
      <w:r w:rsidRPr="00FA0008">
        <w:rPr>
          <w:color w:val="000000" w:themeColor="text1"/>
          <w:szCs w:val="24"/>
          <w:lang w:val="es-419"/>
        </w:rPr>
        <w:t>El periodo de los Representantes de los docentes, estudiantes, egresados y sector productivo del Grupo de Evaluación Continua de Programas, será de tres (3) años contados a partir de la fecha de aprobación por parte del Consejo de Facultad respectivo, o mientras ostente la calidad por la cual fue designado, o hasta que se cumpla el objeto para el cual fue creado el Grupo, la que suceda primero</w:t>
      </w:r>
      <w:r w:rsidRPr="00FA0008">
        <w:rPr>
          <w:color w:val="000000" w:themeColor="text1"/>
          <w:szCs w:val="24"/>
          <w:lang w:val="es-ES"/>
        </w:rPr>
        <w:t>.</w:t>
      </w:r>
    </w:p>
    <w:p w14:paraId="77CCB6F0" w14:textId="77777777" w:rsidR="0025438A" w:rsidRPr="00FB0F7A" w:rsidRDefault="0025438A" w:rsidP="0025438A">
      <w:pPr>
        <w:spacing w:before="240" w:line="276" w:lineRule="auto"/>
        <w:jc w:val="both"/>
        <w:rPr>
          <w:color w:val="000000" w:themeColor="text1"/>
          <w:lang w:val="es-ES"/>
        </w:rPr>
      </w:pPr>
      <w:r w:rsidRPr="00FB0F7A">
        <w:rPr>
          <w:b/>
          <w:color w:val="000000" w:themeColor="text1"/>
          <w:lang w:val="es-ES"/>
        </w:rPr>
        <w:t xml:space="preserve">ARTÍCULO </w:t>
      </w:r>
      <w:r>
        <w:rPr>
          <w:b/>
          <w:color w:val="000000" w:themeColor="text1"/>
          <w:lang w:val="es-ES"/>
        </w:rPr>
        <w:t>3</w:t>
      </w:r>
      <w:r w:rsidRPr="00FB0F7A">
        <w:rPr>
          <w:b/>
          <w:color w:val="000000" w:themeColor="text1"/>
          <w:lang w:val="es-ES"/>
        </w:rPr>
        <w:t xml:space="preserve">. </w:t>
      </w:r>
      <w:r>
        <w:rPr>
          <w:b/>
          <w:color w:val="000000" w:themeColor="text1"/>
          <w:lang w:val="es-ES"/>
        </w:rPr>
        <w:t xml:space="preserve">FUNCIONES. </w:t>
      </w:r>
      <w:r>
        <w:rPr>
          <w:color w:val="000000" w:themeColor="text1"/>
          <w:lang w:val="es-ES"/>
        </w:rPr>
        <w:t xml:space="preserve">El </w:t>
      </w:r>
      <w:r>
        <w:rPr>
          <w:color w:val="000000" w:themeColor="text1"/>
          <w:lang w:val="es-419"/>
        </w:rPr>
        <w:t>Grupo</w:t>
      </w:r>
      <w:r>
        <w:rPr>
          <w:color w:val="000000" w:themeColor="text1"/>
          <w:lang w:val="es-ES"/>
        </w:rPr>
        <w:t xml:space="preserve"> de Evaluación Continua del Programa Académico</w:t>
      </w:r>
      <w:r w:rsidRPr="00FB0F7A">
        <w:rPr>
          <w:color w:val="000000" w:themeColor="text1"/>
          <w:lang w:val="es-ES"/>
        </w:rPr>
        <w:t xml:space="preserve">, orientará, acompañará y apoyará en el desarrollo de los procesos relacionados con el Registro Calificado y la Acreditación de Alta Calidad, desarrollando las siguientes funciones: </w:t>
      </w:r>
    </w:p>
    <w:p w14:paraId="03931518" w14:textId="602919CB" w:rsidR="0025438A" w:rsidRDefault="0025438A" w:rsidP="0025438A">
      <w:pPr>
        <w:pStyle w:val="Prrafodelista"/>
        <w:widowControl/>
        <w:numPr>
          <w:ilvl w:val="0"/>
          <w:numId w:val="6"/>
        </w:numPr>
        <w:autoSpaceDE/>
        <w:autoSpaceDN/>
        <w:spacing w:before="240" w:after="200" w:line="276" w:lineRule="auto"/>
        <w:contextualSpacing/>
        <w:jc w:val="both"/>
        <w:rPr>
          <w:color w:val="000000" w:themeColor="text1"/>
          <w:lang w:val="es-ES"/>
        </w:rPr>
      </w:pPr>
      <w:r w:rsidRPr="00FB0F7A">
        <w:rPr>
          <w:color w:val="000000" w:themeColor="text1"/>
          <w:lang w:val="es-ES"/>
        </w:rPr>
        <w:t xml:space="preserve">Conformar el </w:t>
      </w:r>
      <w:r w:rsidR="003F7BC0" w:rsidRPr="00FB0F7A">
        <w:rPr>
          <w:color w:val="000000" w:themeColor="text1"/>
          <w:lang w:val="es-ES"/>
        </w:rPr>
        <w:t>equipo de trabajo responsable de asumir y liderar las condiciones de calidad y los factores para los procesos de registro calificado y acreditación de alta calidad, respectivamente.</w:t>
      </w:r>
    </w:p>
    <w:p w14:paraId="3C9CEF98" w14:textId="77777777" w:rsidR="0025438A" w:rsidRPr="00FB0F7A" w:rsidRDefault="0025438A" w:rsidP="0025438A">
      <w:pPr>
        <w:pStyle w:val="Prrafodelista"/>
        <w:widowControl/>
        <w:numPr>
          <w:ilvl w:val="0"/>
          <w:numId w:val="6"/>
        </w:numPr>
        <w:autoSpaceDE/>
        <w:autoSpaceDN/>
        <w:spacing w:before="240" w:after="200" w:line="276" w:lineRule="auto"/>
        <w:contextualSpacing/>
        <w:jc w:val="both"/>
        <w:rPr>
          <w:color w:val="000000" w:themeColor="text1"/>
          <w:lang w:val="es-ES"/>
        </w:rPr>
      </w:pPr>
      <w:r>
        <w:rPr>
          <w:color w:val="000000" w:themeColor="text1"/>
          <w:lang w:val="es-ES"/>
        </w:rPr>
        <w:t>Administrar los tiempos y recursos asignados para la ejecución de actividades.</w:t>
      </w:r>
    </w:p>
    <w:p w14:paraId="6BA064B2" w14:textId="0B988686" w:rsidR="0025438A" w:rsidRPr="00AC3D93" w:rsidRDefault="0025438A" w:rsidP="0025438A">
      <w:pPr>
        <w:pStyle w:val="Prrafodelista"/>
        <w:widowControl/>
        <w:numPr>
          <w:ilvl w:val="0"/>
          <w:numId w:val="6"/>
        </w:numPr>
        <w:autoSpaceDE/>
        <w:autoSpaceDN/>
        <w:spacing w:before="240" w:after="200" w:line="276" w:lineRule="auto"/>
        <w:contextualSpacing/>
        <w:jc w:val="both"/>
        <w:rPr>
          <w:color w:val="000000" w:themeColor="text1"/>
          <w:lang w:val="es-ES"/>
        </w:rPr>
      </w:pPr>
      <w:r w:rsidRPr="00AC3D93">
        <w:rPr>
          <w:color w:val="000000" w:themeColor="text1"/>
          <w:lang w:val="es-ES"/>
        </w:rPr>
        <w:t xml:space="preserve">Elaborar el Plan </w:t>
      </w:r>
      <w:r w:rsidR="006B2482">
        <w:rPr>
          <w:color w:val="000000" w:themeColor="text1"/>
          <w:lang w:val="es-419"/>
        </w:rPr>
        <w:t>Operativo</w:t>
      </w:r>
      <w:r w:rsidRPr="00AC3D93">
        <w:rPr>
          <w:color w:val="000000" w:themeColor="text1"/>
          <w:lang w:val="es-ES"/>
        </w:rPr>
        <w:t xml:space="preserve"> Anual – </w:t>
      </w:r>
      <w:r w:rsidR="006B2482">
        <w:rPr>
          <w:color w:val="000000" w:themeColor="text1"/>
          <w:lang w:val="es-419"/>
        </w:rPr>
        <w:t>POA</w:t>
      </w:r>
      <w:r w:rsidRPr="00AC3D93">
        <w:rPr>
          <w:color w:val="000000" w:themeColor="text1"/>
          <w:lang w:val="es-ES"/>
        </w:rPr>
        <w:t xml:space="preserve"> para </w:t>
      </w:r>
      <w:r w:rsidR="006B2482" w:rsidRPr="00AC3D93">
        <w:rPr>
          <w:color w:val="000000" w:themeColor="text1"/>
          <w:lang w:val="es-ES"/>
        </w:rPr>
        <w:t>el cumplimiento de los procesos de autoevaluación y mejoramiento continuo del programa académico para los procesos de registro calificado y acreditación de alta calidad.</w:t>
      </w:r>
    </w:p>
    <w:p w14:paraId="0343EFA3" w14:textId="10565678" w:rsidR="0025438A" w:rsidRPr="00FB0F7A" w:rsidRDefault="0025438A" w:rsidP="0025438A">
      <w:pPr>
        <w:pStyle w:val="Prrafodelista"/>
        <w:widowControl/>
        <w:numPr>
          <w:ilvl w:val="0"/>
          <w:numId w:val="6"/>
        </w:numPr>
        <w:autoSpaceDE/>
        <w:autoSpaceDN/>
        <w:spacing w:before="240" w:after="200" w:line="276" w:lineRule="auto"/>
        <w:contextualSpacing/>
        <w:jc w:val="both"/>
        <w:rPr>
          <w:color w:val="000000" w:themeColor="text1"/>
          <w:lang w:val="es-ES"/>
        </w:rPr>
      </w:pPr>
      <w:r w:rsidRPr="00FB0F7A">
        <w:rPr>
          <w:color w:val="000000" w:themeColor="text1"/>
          <w:lang w:val="es-ES"/>
        </w:rPr>
        <w:t xml:space="preserve">Definir la </w:t>
      </w:r>
      <w:r w:rsidR="002112CB" w:rsidRPr="00FB0F7A">
        <w:rPr>
          <w:color w:val="000000" w:themeColor="text1"/>
          <w:lang w:val="es-ES"/>
        </w:rPr>
        <w:t>metodología e instrumentos para llevar a cabo los procesos de autoevaluación del programa académico.</w:t>
      </w:r>
    </w:p>
    <w:p w14:paraId="604CF423" w14:textId="50BA3A43" w:rsidR="0025438A" w:rsidRDefault="0025438A" w:rsidP="0025438A">
      <w:pPr>
        <w:pStyle w:val="Prrafodelista"/>
        <w:widowControl/>
        <w:numPr>
          <w:ilvl w:val="0"/>
          <w:numId w:val="6"/>
        </w:numPr>
        <w:autoSpaceDE/>
        <w:autoSpaceDN/>
        <w:spacing w:before="240" w:after="200" w:line="276" w:lineRule="auto"/>
        <w:contextualSpacing/>
        <w:jc w:val="both"/>
        <w:rPr>
          <w:color w:val="000000" w:themeColor="text1"/>
          <w:lang w:val="es-ES"/>
        </w:rPr>
      </w:pPr>
      <w:r w:rsidRPr="00FB0F7A">
        <w:rPr>
          <w:color w:val="000000" w:themeColor="text1"/>
          <w:lang w:val="es-ES"/>
        </w:rPr>
        <w:t xml:space="preserve">Realizar </w:t>
      </w:r>
      <w:r w:rsidR="002112CB" w:rsidRPr="00FB0F7A">
        <w:rPr>
          <w:color w:val="000000" w:themeColor="text1"/>
          <w:lang w:val="es-ES"/>
        </w:rPr>
        <w:t>la ponderación de los factores y características para llevar a cabo el proceso de autoevaluación del programa académico para obtención de acreditación de alta calidad.</w:t>
      </w:r>
    </w:p>
    <w:p w14:paraId="1359FA74" w14:textId="123660C3" w:rsidR="002112CB" w:rsidRPr="00FB0F7A" w:rsidRDefault="002112CB" w:rsidP="0025438A">
      <w:pPr>
        <w:pStyle w:val="Prrafodelista"/>
        <w:widowControl/>
        <w:numPr>
          <w:ilvl w:val="0"/>
          <w:numId w:val="6"/>
        </w:numPr>
        <w:autoSpaceDE/>
        <w:autoSpaceDN/>
        <w:spacing w:before="240" w:after="200" w:line="276" w:lineRule="auto"/>
        <w:contextualSpacing/>
        <w:jc w:val="both"/>
        <w:rPr>
          <w:color w:val="000000" w:themeColor="text1"/>
          <w:lang w:val="es-ES"/>
        </w:rPr>
      </w:pPr>
      <w:r>
        <w:rPr>
          <w:color w:val="000000" w:themeColor="text1"/>
          <w:lang w:val="es-419"/>
        </w:rPr>
        <w:t>Valorar las condiciones o factores de calidad de los programas académicos cuantitativa y/o cualitativamente.</w:t>
      </w:r>
    </w:p>
    <w:p w14:paraId="1DDF2232" w14:textId="4F4B814F" w:rsidR="0025438A" w:rsidRPr="00FB0F7A" w:rsidRDefault="0025438A" w:rsidP="0025438A">
      <w:pPr>
        <w:pStyle w:val="Prrafodelista"/>
        <w:widowControl/>
        <w:numPr>
          <w:ilvl w:val="0"/>
          <w:numId w:val="6"/>
        </w:numPr>
        <w:autoSpaceDE/>
        <w:autoSpaceDN/>
        <w:spacing w:before="240" w:after="200" w:line="276" w:lineRule="auto"/>
        <w:contextualSpacing/>
        <w:jc w:val="both"/>
        <w:rPr>
          <w:color w:val="000000" w:themeColor="text1"/>
          <w:lang w:val="es-ES"/>
        </w:rPr>
      </w:pPr>
      <w:r w:rsidRPr="00FB0F7A">
        <w:rPr>
          <w:color w:val="000000" w:themeColor="text1"/>
          <w:lang w:val="es-ES"/>
        </w:rPr>
        <w:lastRenderedPageBreak/>
        <w:t xml:space="preserve">Asignar </w:t>
      </w:r>
      <w:r w:rsidR="008E059C" w:rsidRPr="00FB0F7A">
        <w:rPr>
          <w:color w:val="000000" w:themeColor="text1"/>
          <w:lang w:val="es-ES"/>
        </w:rPr>
        <w:t>responsabilidades en la recolección, organización, clasificación y actualización de la información necesaria para los procesos de registro calificado, condiciones iniciales y autoevaluación.</w:t>
      </w:r>
    </w:p>
    <w:p w14:paraId="142F9F93" w14:textId="37EA44C5" w:rsidR="0025438A" w:rsidRPr="00FB0F7A" w:rsidRDefault="0025438A" w:rsidP="0025438A">
      <w:pPr>
        <w:pStyle w:val="Prrafodelista"/>
        <w:widowControl/>
        <w:numPr>
          <w:ilvl w:val="0"/>
          <w:numId w:val="6"/>
        </w:numPr>
        <w:autoSpaceDE/>
        <w:autoSpaceDN/>
        <w:spacing w:before="240" w:after="200" w:line="276" w:lineRule="auto"/>
        <w:contextualSpacing/>
        <w:jc w:val="both"/>
        <w:rPr>
          <w:color w:val="000000" w:themeColor="text1"/>
          <w:lang w:val="es-ES"/>
        </w:rPr>
      </w:pPr>
      <w:r w:rsidRPr="00FB0F7A">
        <w:rPr>
          <w:color w:val="000000" w:themeColor="text1"/>
          <w:lang w:val="es-ES"/>
        </w:rPr>
        <w:t xml:space="preserve">Liderar los procesos </w:t>
      </w:r>
      <w:r w:rsidR="008E059C" w:rsidRPr="00FB0F7A">
        <w:rPr>
          <w:color w:val="000000" w:themeColor="text1"/>
          <w:lang w:val="es-ES"/>
        </w:rPr>
        <w:t xml:space="preserve">de autoevaluación con miras a renovación de registro calificado y acreditación de alta calidad, según lo definido por el sistema de aseguramiento de la calidad de la universidad y su modelo de autoevaluación. </w:t>
      </w:r>
    </w:p>
    <w:p w14:paraId="020998DB" w14:textId="676C9CA6" w:rsidR="0025438A" w:rsidRPr="00FB0F7A" w:rsidRDefault="0025438A" w:rsidP="0025438A">
      <w:pPr>
        <w:pStyle w:val="Prrafodelista"/>
        <w:widowControl/>
        <w:numPr>
          <w:ilvl w:val="0"/>
          <w:numId w:val="6"/>
        </w:numPr>
        <w:autoSpaceDE/>
        <w:autoSpaceDN/>
        <w:spacing w:before="240" w:after="200" w:line="276" w:lineRule="auto"/>
        <w:contextualSpacing/>
        <w:jc w:val="both"/>
        <w:rPr>
          <w:color w:val="000000" w:themeColor="text1"/>
          <w:lang w:val="es-ES"/>
        </w:rPr>
      </w:pPr>
      <w:r w:rsidRPr="00FB0F7A">
        <w:rPr>
          <w:color w:val="000000" w:themeColor="text1"/>
          <w:lang w:val="es-ES"/>
        </w:rPr>
        <w:t>Elaborar los do</w:t>
      </w:r>
      <w:r w:rsidR="008E059C" w:rsidRPr="00FB0F7A">
        <w:rPr>
          <w:color w:val="000000" w:themeColor="text1"/>
          <w:lang w:val="es-ES"/>
        </w:rPr>
        <w:t xml:space="preserve">cumentos de condiciones de calidad para obtención y renovación de registros calificados y de condiciones iniciales y autoevaluación para obtención de acreditación de alta calidad. </w:t>
      </w:r>
    </w:p>
    <w:p w14:paraId="4539C3DA" w14:textId="59D933A3" w:rsidR="0025438A" w:rsidRPr="00FB0F7A" w:rsidRDefault="008E059C" w:rsidP="0025438A">
      <w:pPr>
        <w:pStyle w:val="Prrafodelista"/>
        <w:widowControl/>
        <w:numPr>
          <w:ilvl w:val="0"/>
          <w:numId w:val="6"/>
        </w:numPr>
        <w:autoSpaceDE/>
        <w:autoSpaceDN/>
        <w:spacing w:before="240" w:after="200" w:line="276" w:lineRule="auto"/>
        <w:contextualSpacing/>
        <w:jc w:val="both"/>
        <w:rPr>
          <w:color w:val="000000" w:themeColor="text1"/>
          <w:lang w:val="es-ES"/>
        </w:rPr>
      </w:pPr>
      <w:r w:rsidRPr="00FB0F7A">
        <w:rPr>
          <w:color w:val="000000" w:themeColor="text1"/>
          <w:lang w:val="es-ES"/>
        </w:rPr>
        <w:t xml:space="preserve">Responder por la calidad de los documentos de condiciones de calidad, condiciones iniciales y autoevaluación. </w:t>
      </w:r>
    </w:p>
    <w:p w14:paraId="541B682D" w14:textId="0B708FDA" w:rsidR="0025438A" w:rsidRPr="00FB0F7A" w:rsidRDefault="0025438A" w:rsidP="0025438A">
      <w:pPr>
        <w:pStyle w:val="Prrafodelista"/>
        <w:widowControl/>
        <w:numPr>
          <w:ilvl w:val="0"/>
          <w:numId w:val="6"/>
        </w:numPr>
        <w:autoSpaceDE/>
        <w:autoSpaceDN/>
        <w:spacing w:before="240" w:after="200" w:line="276" w:lineRule="auto"/>
        <w:contextualSpacing/>
        <w:jc w:val="both"/>
        <w:rPr>
          <w:color w:val="000000" w:themeColor="text1"/>
          <w:lang w:val="es-ES"/>
        </w:rPr>
      </w:pPr>
      <w:r w:rsidRPr="00FB0F7A">
        <w:rPr>
          <w:color w:val="000000" w:themeColor="text1"/>
          <w:lang w:val="es-ES"/>
        </w:rPr>
        <w:t xml:space="preserve">Elaborar, aplicar y hacer </w:t>
      </w:r>
      <w:r w:rsidR="008E059C" w:rsidRPr="00FB0F7A">
        <w:rPr>
          <w:color w:val="000000" w:themeColor="text1"/>
          <w:lang w:val="es-ES"/>
        </w:rPr>
        <w:t xml:space="preserve">seguimiento al plan de </w:t>
      </w:r>
      <w:r w:rsidR="008E059C">
        <w:rPr>
          <w:color w:val="000000" w:themeColor="text1"/>
          <w:lang w:val="es-419"/>
        </w:rPr>
        <w:t>mejoramiento</w:t>
      </w:r>
      <w:r w:rsidR="008E059C" w:rsidRPr="00FB0F7A">
        <w:rPr>
          <w:color w:val="000000" w:themeColor="text1"/>
          <w:lang w:val="es-ES"/>
        </w:rPr>
        <w:t xml:space="preserve"> del programa en el marco de los procesos de registro calificado y acreditación de alta calidad. </w:t>
      </w:r>
    </w:p>
    <w:p w14:paraId="6CFD6276" w14:textId="56968C0C" w:rsidR="0025438A" w:rsidRPr="006E6CBD" w:rsidRDefault="0025438A" w:rsidP="000B758C">
      <w:pPr>
        <w:pStyle w:val="Prrafodelista"/>
        <w:widowControl/>
        <w:numPr>
          <w:ilvl w:val="0"/>
          <w:numId w:val="6"/>
        </w:numPr>
        <w:autoSpaceDE/>
        <w:autoSpaceDN/>
        <w:spacing w:before="240" w:after="200" w:line="276" w:lineRule="auto"/>
        <w:contextualSpacing/>
        <w:jc w:val="both"/>
        <w:rPr>
          <w:color w:val="000000" w:themeColor="text1"/>
          <w:lang w:val="es-ES"/>
        </w:rPr>
      </w:pPr>
      <w:r w:rsidRPr="00FB0F7A">
        <w:rPr>
          <w:color w:val="000000" w:themeColor="text1"/>
          <w:lang w:val="es-ES"/>
        </w:rPr>
        <w:t>Socializar con l</w:t>
      </w:r>
      <w:r w:rsidR="000B758C" w:rsidRPr="00FB0F7A">
        <w:rPr>
          <w:color w:val="000000" w:themeColor="text1"/>
          <w:lang w:val="es-ES"/>
        </w:rPr>
        <w:t xml:space="preserve">a comunidad académica los resultados de los procesos de autoevaluación del programa. </w:t>
      </w:r>
    </w:p>
    <w:p w14:paraId="4FB72A6C" w14:textId="77777777" w:rsidR="0025438A" w:rsidRDefault="0025438A" w:rsidP="0025438A">
      <w:pPr>
        <w:pStyle w:val="Prrafodelista"/>
        <w:widowControl/>
        <w:numPr>
          <w:ilvl w:val="0"/>
          <w:numId w:val="6"/>
        </w:numPr>
        <w:autoSpaceDE/>
        <w:autoSpaceDN/>
        <w:spacing w:before="240" w:after="200" w:line="276" w:lineRule="auto"/>
        <w:contextualSpacing/>
        <w:jc w:val="both"/>
        <w:rPr>
          <w:color w:val="000000" w:themeColor="text1"/>
          <w:lang w:val="es-ES"/>
        </w:rPr>
      </w:pPr>
      <w:r w:rsidRPr="00FB0F7A">
        <w:rPr>
          <w:color w:val="000000" w:themeColor="text1"/>
          <w:lang w:val="es-ES"/>
        </w:rPr>
        <w:t xml:space="preserve">Llevar actas de todas las sesiones del </w:t>
      </w:r>
      <w:r>
        <w:rPr>
          <w:color w:val="000000" w:themeColor="text1"/>
          <w:lang w:val="es-419"/>
        </w:rPr>
        <w:t>Grupo</w:t>
      </w:r>
      <w:r w:rsidRPr="00FB0F7A">
        <w:rPr>
          <w:color w:val="000000" w:themeColor="text1"/>
          <w:lang w:val="es-ES"/>
        </w:rPr>
        <w:t xml:space="preserve"> de </w:t>
      </w:r>
      <w:r>
        <w:rPr>
          <w:color w:val="000000" w:themeColor="text1"/>
          <w:lang w:val="es-ES"/>
        </w:rPr>
        <w:t>Evaluación Continua</w:t>
      </w:r>
      <w:r w:rsidRPr="00FB0F7A">
        <w:rPr>
          <w:color w:val="000000" w:themeColor="text1"/>
          <w:lang w:val="es-ES"/>
        </w:rPr>
        <w:t>.</w:t>
      </w:r>
    </w:p>
    <w:p w14:paraId="40E35E41" w14:textId="77777777" w:rsidR="0025438A" w:rsidRDefault="0025438A" w:rsidP="0025438A">
      <w:pPr>
        <w:spacing w:before="240" w:line="276" w:lineRule="auto"/>
        <w:jc w:val="both"/>
        <w:rPr>
          <w:color w:val="000000" w:themeColor="text1"/>
          <w:lang w:val="es-ES"/>
        </w:rPr>
      </w:pPr>
      <w:r>
        <w:rPr>
          <w:b/>
          <w:color w:val="000000" w:themeColor="text1"/>
          <w:lang w:val="es-ES"/>
        </w:rPr>
        <w:t xml:space="preserve">ARTÍCULO 4. EQUIPOS DE TRABAJO. </w:t>
      </w:r>
      <w:r>
        <w:rPr>
          <w:color w:val="000000" w:themeColor="text1"/>
          <w:lang w:val="es-ES"/>
        </w:rPr>
        <w:t>Son los encargados de recopilar, consolidar, organizar y analizar de forma oportuna y confiable la información con el propósito de emitir los juicios valorativos a partir de los cuales sea posible establecer acciones de mejoramiento o mantenimiento de calidad. Estos equipos están integrados, por miembros en general de cada uno de los actores académicos del Programa Académico.</w:t>
      </w:r>
    </w:p>
    <w:p w14:paraId="6DA3C877" w14:textId="77777777" w:rsidR="0025438A" w:rsidRDefault="0025438A" w:rsidP="0025438A">
      <w:pPr>
        <w:spacing w:before="240" w:line="276" w:lineRule="auto"/>
        <w:jc w:val="both"/>
        <w:rPr>
          <w:color w:val="000000" w:themeColor="text1"/>
          <w:lang w:val="es-ES"/>
        </w:rPr>
      </w:pPr>
      <w:r>
        <w:rPr>
          <w:b/>
          <w:color w:val="000000" w:themeColor="text1"/>
          <w:lang w:val="es-ES"/>
        </w:rPr>
        <w:t xml:space="preserve">ARTÍCULO 5. FUNCIONES. </w:t>
      </w:r>
      <w:r>
        <w:rPr>
          <w:color w:val="000000" w:themeColor="text1"/>
          <w:lang w:val="es-ES"/>
        </w:rPr>
        <w:t xml:space="preserve">Son funciones de los equipos de trabajo, las siguientes: </w:t>
      </w:r>
    </w:p>
    <w:p w14:paraId="3F4E69CD" w14:textId="77777777" w:rsidR="0025438A" w:rsidRPr="00165381" w:rsidRDefault="0025438A" w:rsidP="0025438A">
      <w:pPr>
        <w:pStyle w:val="Prrafodelista"/>
        <w:widowControl/>
        <w:numPr>
          <w:ilvl w:val="0"/>
          <w:numId w:val="12"/>
        </w:numPr>
        <w:autoSpaceDE/>
        <w:autoSpaceDN/>
        <w:spacing w:before="240" w:after="200" w:line="276" w:lineRule="auto"/>
        <w:contextualSpacing/>
        <w:jc w:val="both"/>
        <w:rPr>
          <w:color w:val="000000" w:themeColor="text1"/>
          <w:lang w:val="es-ES"/>
        </w:rPr>
      </w:pPr>
      <w:r w:rsidRPr="00165381">
        <w:rPr>
          <w:rFonts w:eastAsiaTheme="minorHAnsi"/>
          <w:color w:val="000000"/>
        </w:rPr>
        <w:t>Consolidar y analizar la información documental y no documental para el desarrollo de los juicios de valor que permitan identificar las for</w:t>
      </w:r>
      <w:r>
        <w:rPr>
          <w:rFonts w:eastAsiaTheme="minorHAnsi"/>
          <w:color w:val="000000"/>
        </w:rPr>
        <w:t>talezas y aspectos por mejorar.</w:t>
      </w:r>
    </w:p>
    <w:p w14:paraId="3E3DBEF4" w14:textId="4F0EEF3F" w:rsidR="0025438A" w:rsidRPr="00243961" w:rsidRDefault="0025438A" w:rsidP="0025438A">
      <w:pPr>
        <w:pStyle w:val="Prrafodelista"/>
        <w:widowControl/>
        <w:numPr>
          <w:ilvl w:val="0"/>
          <w:numId w:val="12"/>
        </w:numPr>
        <w:autoSpaceDE/>
        <w:autoSpaceDN/>
        <w:spacing w:before="240" w:after="200" w:line="276" w:lineRule="auto"/>
        <w:contextualSpacing/>
        <w:jc w:val="both"/>
        <w:rPr>
          <w:color w:val="000000" w:themeColor="text1"/>
          <w:lang w:val="es-ES"/>
        </w:rPr>
      </w:pPr>
      <w:r w:rsidRPr="00165381">
        <w:rPr>
          <w:rFonts w:eastAsiaTheme="minorHAnsi"/>
          <w:color w:val="000000"/>
        </w:rPr>
        <w:t xml:space="preserve">Definir acciones de </w:t>
      </w:r>
      <w:r w:rsidR="00C204C2" w:rsidRPr="00165381">
        <w:rPr>
          <w:rFonts w:eastAsiaTheme="minorHAnsi"/>
          <w:color w:val="000000"/>
        </w:rPr>
        <w:t xml:space="preserve">mejoramiento y mantenimiento de la calidad a partir de los resultados obtenidos en cada </w:t>
      </w:r>
      <w:r w:rsidR="00C204C2">
        <w:rPr>
          <w:rFonts w:eastAsiaTheme="minorHAnsi"/>
          <w:color w:val="000000"/>
        </w:rPr>
        <w:t>factor o condición de calidad.</w:t>
      </w:r>
    </w:p>
    <w:p w14:paraId="61D37C8B" w14:textId="77777777" w:rsidR="0025438A" w:rsidRPr="00243961" w:rsidRDefault="0025438A" w:rsidP="0025438A">
      <w:pPr>
        <w:pStyle w:val="Prrafodelista"/>
        <w:widowControl/>
        <w:numPr>
          <w:ilvl w:val="0"/>
          <w:numId w:val="12"/>
        </w:numPr>
        <w:autoSpaceDE/>
        <w:autoSpaceDN/>
        <w:spacing w:before="240" w:after="200" w:line="276" w:lineRule="auto"/>
        <w:contextualSpacing/>
        <w:jc w:val="both"/>
        <w:rPr>
          <w:color w:val="000000" w:themeColor="text1"/>
          <w:lang w:val="es-ES"/>
        </w:rPr>
      </w:pPr>
      <w:r w:rsidRPr="00243961">
        <w:rPr>
          <w:rFonts w:eastAsiaTheme="minorHAnsi"/>
          <w:color w:val="000000"/>
        </w:rPr>
        <w:t xml:space="preserve">Aplicar los instrumentos de medición en la comunidad académica </w:t>
      </w:r>
    </w:p>
    <w:p w14:paraId="095DBB8A" w14:textId="77777777" w:rsidR="0025438A" w:rsidRPr="00C204C2" w:rsidRDefault="0025438A" w:rsidP="0025438A">
      <w:pPr>
        <w:pStyle w:val="Prrafodelista"/>
        <w:widowControl/>
        <w:numPr>
          <w:ilvl w:val="0"/>
          <w:numId w:val="12"/>
        </w:numPr>
        <w:autoSpaceDE/>
        <w:autoSpaceDN/>
        <w:spacing w:before="240" w:after="200" w:line="276" w:lineRule="auto"/>
        <w:contextualSpacing/>
        <w:jc w:val="both"/>
        <w:rPr>
          <w:color w:val="000000" w:themeColor="text1"/>
          <w:lang w:val="es-ES"/>
        </w:rPr>
      </w:pPr>
      <w:r w:rsidRPr="00243961">
        <w:rPr>
          <w:rFonts w:eastAsiaTheme="minorHAnsi"/>
          <w:color w:val="000000"/>
        </w:rPr>
        <w:t>Construir los informes que se requieran por cada uno de los factores, que sirvan de base para los documentos relacionados a los procesos de aseguramiento de la c</w:t>
      </w:r>
      <w:r>
        <w:rPr>
          <w:rFonts w:eastAsiaTheme="minorHAnsi"/>
          <w:color w:val="000000"/>
        </w:rPr>
        <w:t>alidad.</w:t>
      </w:r>
    </w:p>
    <w:p w14:paraId="0AFD327C" w14:textId="2E86766C" w:rsidR="00C204C2" w:rsidRPr="00243961" w:rsidRDefault="00C204C2" w:rsidP="0025438A">
      <w:pPr>
        <w:pStyle w:val="Prrafodelista"/>
        <w:widowControl/>
        <w:numPr>
          <w:ilvl w:val="0"/>
          <w:numId w:val="12"/>
        </w:numPr>
        <w:autoSpaceDE/>
        <w:autoSpaceDN/>
        <w:spacing w:before="240" w:after="200" w:line="276" w:lineRule="auto"/>
        <w:contextualSpacing/>
        <w:jc w:val="both"/>
        <w:rPr>
          <w:color w:val="000000" w:themeColor="text1"/>
          <w:lang w:val="es-ES"/>
        </w:rPr>
      </w:pPr>
      <w:r>
        <w:rPr>
          <w:rFonts w:eastAsiaTheme="minorHAnsi"/>
          <w:color w:val="000000"/>
          <w:lang w:val="es-419"/>
        </w:rPr>
        <w:t>Construir documento de informe final para realizar la entrega y el cargue al sistema SACES, o quien haga sus veces.</w:t>
      </w:r>
    </w:p>
    <w:p w14:paraId="6BF044D8" w14:textId="1F08F4AE" w:rsidR="0025438A" w:rsidRPr="000150E8" w:rsidRDefault="0025438A" w:rsidP="0025438A">
      <w:pPr>
        <w:pStyle w:val="Prrafodelista"/>
        <w:widowControl/>
        <w:numPr>
          <w:ilvl w:val="0"/>
          <w:numId w:val="12"/>
        </w:numPr>
        <w:autoSpaceDE/>
        <w:autoSpaceDN/>
        <w:spacing w:before="240" w:after="200" w:line="276" w:lineRule="auto"/>
        <w:contextualSpacing/>
        <w:jc w:val="both"/>
        <w:rPr>
          <w:color w:val="000000" w:themeColor="text1"/>
          <w:lang w:val="es-ES"/>
        </w:rPr>
      </w:pPr>
      <w:r w:rsidRPr="00725497">
        <w:rPr>
          <w:rFonts w:eastAsiaTheme="minorHAnsi"/>
          <w:color w:val="000000"/>
        </w:rPr>
        <w:t xml:space="preserve">Mantener un sistema de comunicación permanente con el </w:t>
      </w:r>
      <w:r w:rsidR="00DA5290">
        <w:rPr>
          <w:rFonts w:eastAsiaTheme="minorHAnsi"/>
          <w:color w:val="000000"/>
          <w:lang w:val="es-419"/>
        </w:rPr>
        <w:t xml:space="preserve">Comité Institucional de Autoevaluación y Calidad, Grupo Central de Evaluación Continua para la verificación de condiciones institucionales y el </w:t>
      </w:r>
      <w:r w:rsidR="00DA5290">
        <w:rPr>
          <w:color w:val="000000" w:themeColor="text1"/>
          <w:lang w:val="es-419"/>
        </w:rPr>
        <w:t>Grupo de Evaluación Continua</w:t>
      </w:r>
      <w:r w:rsidRPr="00725497">
        <w:rPr>
          <w:rFonts w:eastAsiaTheme="minorHAnsi"/>
          <w:color w:val="000000"/>
        </w:rPr>
        <w:t>.</w:t>
      </w:r>
    </w:p>
    <w:p w14:paraId="168B7D04" w14:textId="5AD054FC" w:rsidR="000150E8" w:rsidRPr="001D36E7" w:rsidRDefault="000150E8" w:rsidP="0025438A">
      <w:pPr>
        <w:pStyle w:val="Prrafodelista"/>
        <w:widowControl/>
        <w:numPr>
          <w:ilvl w:val="0"/>
          <w:numId w:val="12"/>
        </w:numPr>
        <w:autoSpaceDE/>
        <w:autoSpaceDN/>
        <w:spacing w:before="240" w:after="200" w:line="276" w:lineRule="auto"/>
        <w:contextualSpacing/>
        <w:jc w:val="both"/>
        <w:rPr>
          <w:color w:val="000000" w:themeColor="text1"/>
          <w:lang w:val="es-ES"/>
        </w:rPr>
      </w:pPr>
      <w:r>
        <w:rPr>
          <w:rFonts w:eastAsiaTheme="minorHAnsi"/>
          <w:color w:val="000000"/>
          <w:lang w:val="es-419"/>
        </w:rPr>
        <w:t>El grupo de trabajo deberá reunirse al menos una vez por mes.</w:t>
      </w:r>
    </w:p>
    <w:p w14:paraId="7B8DF6A5" w14:textId="6926BC48" w:rsidR="0025438A" w:rsidRDefault="0025438A" w:rsidP="0025438A">
      <w:pPr>
        <w:spacing w:before="240" w:line="276" w:lineRule="auto"/>
        <w:jc w:val="both"/>
        <w:rPr>
          <w:color w:val="000000" w:themeColor="text1"/>
          <w:lang w:val="es-ES"/>
        </w:rPr>
      </w:pPr>
      <w:r w:rsidRPr="00DD5C49">
        <w:rPr>
          <w:b/>
          <w:color w:val="000000" w:themeColor="text1"/>
          <w:lang w:val="es-ES"/>
        </w:rPr>
        <w:t xml:space="preserve">ARTÍCULO </w:t>
      </w:r>
      <w:r>
        <w:rPr>
          <w:b/>
          <w:color w:val="000000" w:themeColor="text1"/>
          <w:lang w:val="es-ES"/>
        </w:rPr>
        <w:t>6</w:t>
      </w:r>
      <w:r w:rsidRPr="00DD5C49">
        <w:rPr>
          <w:b/>
          <w:color w:val="000000" w:themeColor="text1"/>
          <w:lang w:val="es-ES"/>
        </w:rPr>
        <w:t xml:space="preserve">. </w:t>
      </w:r>
      <w:r w:rsidRPr="00DD5C49">
        <w:rPr>
          <w:color w:val="000000" w:themeColor="text1"/>
          <w:lang w:val="es-ES"/>
        </w:rPr>
        <w:t xml:space="preserve">Para apoyar </w:t>
      </w:r>
      <w:r>
        <w:rPr>
          <w:color w:val="000000" w:themeColor="text1"/>
          <w:lang w:val="es-ES"/>
        </w:rPr>
        <w:t xml:space="preserve">y asesorar </w:t>
      </w:r>
      <w:r w:rsidRPr="00DD5C49">
        <w:rPr>
          <w:color w:val="000000" w:themeColor="text1"/>
          <w:lang w:val="es-ES"/>
        </w:rPr>
        <w:t xml:space="preserve">la ejecución de las </w:t>
      </w:r>
      <w:r w:rsidR="00101CF5" w:rsidRPr="00DD5C49">
        <w:rPr>
          <w:color w:val="000000" w:themeColor="text1"/>
          <w:lang w:val="es-ES"/>
        </w:rPr>
        <w:t>acciones realizadas en los de registros calificados y acreditación en alta calidad</w:t>
      </w:r>
      <w:r>
        <w:rPr>
          <w:color w:val="000000" w:themeColor="text1"/>
          <w:lang w:val="es-ES"/>
        </w:rPr>
        <w:t>, se define la</w:t>
      </w:r>
      <w:r w:rsidRPr="00DD5C49">
        <w:rPr>
          <w:color w:val="000000" w:themeColor="text1"/>
          <w:lang w:val="es-ES"/>
        </w:rPr>
        <w:t xml:space="preserve"> </w:t>
      </w:r>
      <w:r w:rsidR="00101CF5">
        <w:rPr>
          <w:color w:val="000000" w:themeColor="text1"/>
          <w:lang w:val="es-419"/>
        </w:rPr>
        <w:t>Dirección</w:t>
      </w:r>
      <w:r w:rsidRPr="00DD5C49">
        <w:rPr>
          <w:color w:val="000000" w:themeColor="text1"/>
          <w:lang w:val="es-ES"/>
        </w:rPr>
        <w:t xml:space="preserve"> de </w:t>
      </w:r>
      <w:r>
        <w:rPr>
          <w:color w:val="000000" w:themeColor="text1"/>
          <w:lang w:val="es-ES"/>
        </w:rPr>
        <w:t>Aseguramiento de la Calidad</w:t>
      </w:r>
      <w:r>
        <w:rPr>
          <w:color w:val="000000" w:themeColor="text1"/>
          <w:lang w:val="es-419"/>
        </w:rPr>
        <w:t xml:space="preserve"> o quien haga sus veces</w:t>
      </w:r>
      <w:r w:rsidRPr="00DD5C49">
        <w:rPr>
          <w:color w:val="000000" w:themeColor="text1"/>
          <w:lang w:val="es-ES"/>
        </w:rPr>
        <w:t xml:space="preserve">, </w:t>
      </w:r>
      <w:r>
        <w:rPr>
          <w:color w:val="000000" w:themeColor="text1"/>
          <w:lang w:val="es-ES"/>
        </w:rPr>
        <w:t xml:space="preserve">a través de sus respectivos asesores. </w:t>
      </w:r>
    </w:p>
    <w:p w14:paraId="103C129A" w14:textId="77777777" w:rsidR="0025438A" w:rsidRPr="00FB0F7A" w:rsidRDefault="0025438A" w:rsidP="0025438A">
      <w:pPr>
        <w:spacing w:before="240" w:line="276" w:lineRule="auto"/>
        <w:jc w:val="both"/>
        <w:rPr>
          <w:color w:val="000000" w:themeColor="text1"/>
          <w:lang w:val="es-ES"/>
        </w:rPr>
      </w:pPr>
      <w:r w:rsidRPr="00FB0F7A">
        <w:rPr>
          <w:b/>
          <w:color w:val="000000" w:themeColor="text1"/>
          <w:lang w:val="es-ES"/>
        </w:rPr>
        <w:t xml:space="preserve">ARTÍCULO </w:t>
      </w:r>
      <w:r>
        <w:rPr>
          <w:b/>
          <w:color w:val="000000" w:themeColor="text1"/>
          <w:lang w:val="es-ES"/>
        </w:rPr>
        <w:t>7. VIGENCIA</w:t>
      </w:r>
      <w:r w:rsidRPr="00FB0F7A">
        <w:rPr>
          <w:b/>
          <w:color w:val="000000" w:themeColor="text1"/>
          <w:lang w:val="es-ES"/>
        </w:rPr>
        <w:t xml:space="preserve">. </w:t>
      </w:r>
      <w:r w:rsidRPr="00FB0F7A">
        <w:rPr>
          <w:color w:val="000000" w:themeColor="text1"/>
          <w:lang w:val="es-ES"/>
        </w:rPr>
        <w:t xml:space="preserve">El presente Acuerdo </w:t>
      </w:r>
      <w:r>
        <w:rPr>
          <w:color w:val="000000" w:themeColor="text1"/>
          <w:lang w:val="es-ES"/>
        </w:rPr>
        <w:t>rige a partir de la fecha de su expedición</w:t>
      </w:r>
      <w:r w:rsidRPr="00FB0F7A">
        <w:rPr>
          <w:color w:val="000000" w:themeColor="text1"/>
          <w:lang w:val="es-ES"/>
        </w:rPr>
        <w:t xml:space="preserve">. </w:t>
      </w:r>
    </w:p>
    <w:p w14:paraId="6BA25EC2" w14:textId="77777777" w:rsidR="0025438A" w:rsidRPr="00FB0F7A" w:rsidRDefault="0025438A" w:rsidP="0025438A">
      <w:pPr>
        <w:spacing w:before="240" w:line="276" w:lineRule="auto"/>
        <w:jc w:val="center"/>
        <w:rPr>
          <w:b/>
          <w:color w:val="000000" w:themeColor="text1"/>
          <w:lang w:val="es-ES"/>
        </w:rPr>
      </w:pPr>
      <w:r>
        <w:rPr>
          <w:b/>
          <w:color w:val="000000" w:themeColor="text1"/>
          <w:lang w:val="es-ES"/>
        </w:rPr>
        <w:t xml:space="preserve">COMUNÍQUESE </w:t>
      </w:r>
      <w:r w:rsidRPr="00FB0F7A">
        <w:rPr>
          <w:b/>
          <w:color w:val="000000" w:themeColor="text1"/>
          <w:lang w:val="es-ES"/>
        </w:rPr>
        <w:t>Y CÚMPLASE</w:t>
      </w:r>
    </w:p>
    <w:p w14:paraId="69EB6A3F" w14:textId="7CD60D74" w:rsidR="006825E5" w:rsidRDefault="0025438A" w:rsidP="00AB00EE">
      <w:pPr>
        <w:spacing w:before="240" w:line="276" w:lineRule="auto"/>
        <w:jc w:val="both"/>
        <w:rPr>
          <w:color w:val="000000" w:themeColor="text1"/>
          <w:lang w:val="es-ES"/>
        </w:rPr>
      </w:pPr>
      <w:permStart w:id="1704599786" w:edGrp="everyone"/>
      <w:r w:rsidRPr="00FB0F7A">
        <w:rPr>
          <w:color w:val="000000" w:themeColor="text1"/>
          <w:lang w:val="es-ES"/>
        </w:rPr>
        <w:t xml:space="preserve">Dado en Florencia Caquetá a los </w:t>
      </w:r>
      <w:r w:rsidR="00EE7008">
        <w:t>XXX</w:t>
      </w:r>
      <w:r w:rsidRPr="00FB0F7A">
        <w:rPr>
          <w:color w:val="000000" w:themeColor="text1"/>
          <w:lang w:val="es-ES"/>
        </w:rPr>
        <w:t xml:space="preserve"> (</w:t>
      </w:r>
      <w:r w:rsidR="00EE7008">
        <w:t>XX</w:t>
      </w:r>
      <w:r w:rsidRPr="00FB0F7A">
        <w:rPr>
          <w:color w:val="000000" w:themeColor="text1"/>
          <w:lang w:val="es-ES"/>
        </w:rPr>
        <w:t xml:space="preserve">) días del mes de </w:t>
      </w:r>
      <w:r w:rsidR="00EE7008">
        <w:t>XXX</w:t>
      </w:r>
      <w:r w:rsidRPr="00FB0F7A">
        <w:rPr>
          <w:color w:val="000000" w:themeColor="text1"/>
          <w:lang w:val="es-ES"/>
        </w:rPr>
        <w:t xml:space="preserve"> de </w:t>
      </w:r>
      <w:r w:rsidR="00EE7008">
        <w:t>XX</w:t>
      </w:r>
      <w:r w:rsidRPr="00FB0F7A">
        <w:rPr>
          <w:color w:val="000000" w:themeColor="text1"/>
          <w:lang w:val="es-ES"/>
        </w:rPr>
        <w:t xml:space="preserve"> (</w:t>
      </w:r>
      <w:r w:rsidR="00EE7008">
        <w:t>XXX</w:t>
      </w:r>
      <w:bookmarkStart w:id="0" w:name="_GoBack"/>
      <w:bookmarkEnd w:id="0"/>
      <w:r w:rsidR="00AB00EE">
        <w:rPr>
          <w:color w:val="000000" w:themeColor="text1"/>
          <w:lang w:val="es-ES"/>
        </w:rPr>
        <w:t>)</w:t>
      </w:r>
      <w:permEnd w:id="1704599786"/>
      <w:r w:rsidR="00AB00EE">
        <w:rPr>
          <w:color w:val="000000" w:themeColor="text1"/>
          <w:lang w:val="es-ES"/>
        </w:rPr>
        <w:t>.</w:t>
      </w:r>
    </w:p>
    <w:p w14:paraId="68146E48" w14:textId="77777777" w:rsidR="00AB00EE" w:rsidRDefault="00AB00EE" w:rsidP="00AB00EE">
      <w:pPr>
        <w:spacing w:line="276" w:lineRule="auto"/>
        <w:jc w:val="center"/>
        <w:rPr>
          <w:b/>
          <w:color w:val="000000" w:themeColor="text1"/>
          <w:lang w:val="es-419"/>
        </w:rPr>
      </w:pPr>
    </w:p>
    <w:p w14:paraId="56406421" w14:textId="77777777" w:rsidR="00AB00EE" w:rsidRDefault="00AB00EE" w:rsidP="00AB00EE">
      <w:pPr>
        <w:spacing w:line="276" w:lineRule="auto"/>
        <w:jc w:val="center"/>
        <w:rPr>
          <w:b/>
          <w:color w:val="000000" w:themeColor="text1"/>
          <w:lang w:val="es-419"/>
        </w:rPr>
      </w:pPr>
    </w:p>
    <w:p w14:paraId="72D7B4BE" w14:textId="77777777" w:rsidR="00AB00EE" w:rsidRDefault="00AB00EE" w:rsidP="00AB00EE">
      <w:pPr>
        <w:spacing w:line="276" w:lineRule="auto"/>
        <w:jc w:val="center"/>
        <w:rPr>
          <w:b/>
          <w:color w:val="000000" w:themeColor="text1"/>
          <w:lang w:val="es-419"/>
        </w:rPr>
      </w:pPr>
    </w:p>
    <w:p w14:paraId="3195B378" w14:textId="77777777" w:rsidR="00AB00EE" w:rsidRPr="001F4167" w:rsidRDefault="00AB00EE" w:rsidP="00AB00EE">
      <w:pPr>
        <w:spacing w:line="276" w:lineRule="auto"/>
        <w:jc w:val="center"/>
        <w:rPr>
          <w:b/>
          <w:color w:val="000000" w:themeColor="text1"/>
          <w:lang w:val="es-419"/>
        </w:rPr>
      </w:pPr>
      <w:permStart w:id="115687631" w:edGrp="everyone"/>
      <w:r>
        <w:rPr>
          <w:b/>
          <w:color w:val="000000" w:themeColor="text1"/>
          <w:lang w:val="es-419"/>
        </w:rPr>
        <w:t>XXX</w:t>
      </w:r>
    </w:p>
    <w:permEnd w:id="115687631"/>
    <w:p w14:paraId="3A139D5F" w14:textId="5712CF52" w:rsidR="00AB00EE" w:rsidRPr="00AB00EE" w:rsidRDefault="00AB00EE" w:rsidP="00AB00EE">
      <w:pPr>
        <w:spacing w:line="276" w:lineRule="auto"/>
        <w:jc w:val="center"/>
        <w:rPr>
          <w:color w:val="000000" w:themeColor="text1"/>
          <w:lang w:val="es-ES"/>
        </w:rPr>
      </w:pPr>
      <w:r w:rsidRPr="00FB0F7A">
        <w:rPr>
          <w:color w:val="000000" w:themeColor="text1"/>
          <w:lang w:val="es-ES"/>
        </w:rPr>
        <w:t>Presidente</w:t>
      </w:r>
      <w:r>
        <w:rPr>
          <w:color w:val="000000" w:themeColor="text1"/>
          <w:lang w:val="es-ES"/>
        </w:rPr>
        <w:t xml:space="preserve"> </w:t>
      </w:r>
      <w:r w:rsidRPr="00FB0F7A">
        <w:rPr>
          <w:color w:val="000000" w:themeColor="text1"/>
          <w:lang w:val="es-ES"/>
        </w:rPr>
        <w:t xml:space="preserve">Consejo </w:t>
      </w:r>
      <w:r>
        <w:rPr>
          <w:color w:val="000000" w:themeColor="text1"/>
          <w:lang w:val="es-ES"/>
        </w:rPr>
        <w:t>de Facultad</w:t>
      </w:r>
    </w:p>
    <w:sectPr w:rsidR="00AB00EE" w:rsidRPr="00AB00EE" w:rsidSect="006825E5">
      <w:headerReference w:type="default" r:id="rId8"/>
      <w:footerReference w:type="default" r:id="rId9"/>
      <w:pgSz w:w="12240" w:h="20160" w:code="120"/>
      <w:pgMar w:top="2998" w:right="1020" w:bottom="1820" w:left="1020"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EBF9A" w14:textId="77777777" w:rsidR="00E01AFA" w:rsidRDefault="00E01AFA">
      <w:r>
        <w:separator/>
      </w:r>
    </w:p>
  </w:endnote>
  <w:endnote w:type="continuationSeparator" w:id="0">
    <w:p w14:paraId="7D64657A" w14:textId="77777777" w:rsidR="00E01AFA" w:rsidRDefault="00E0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ork Sans">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DE91C" w14:textId="74BFE2BA" w:rsidR="00017B24" w:rsidRDefault="00017B24" w:rsidP="006825E5">
    <w:pPr>
      <w:pStyle w:val="Textoindependiente"/>
      <w:spacing w:line="14" w:lineRule="auto"/>
      <w:jc w:val="center"/>
      <w:rPr>
        <w:sz w:val="20"/>
      </w:rPr>
    </w:pPr>
    <w:r>
      <w:rPr>
        <w:noProof/>
        <w:sz w:val="20"/>
        <w:lang w:eastAsia="es-CO"/>
      </w:rPr>
      <w:drawing>
        <wp:anchor distT="0" distB="0" distL="114300" distR="114300" simplePos="0" relativeHeight="251658240" behindDoc="0" locked="0" layoutInCell="1" allowOverlap="1" wp14:anchorId="006A016B" wp14:editId="000A4CBA">
          <wp:simplePos x="0" y="0"/>
          <wp:positionH relativeFrom="column">
            <wp:posOffset>433677</wp:posOffset>
          </wp:positionH>
          <wp:positionV relativeFrom="paragraph">
            <wp:posOffset>-813904</wp:posOffset>
          </wp:positionV>
          <wp:extent cx="5607338" cy="819192"/>
          <wp:effectExtent l="0" t="0" r="0" b="0"/>
          <wp:wrapThrough wrapText="bothSides">
            <wp:wrapPolygon edited="0">
              <wp:start x="14971" y="0"/>
              <wp:lineTo x="0" y="502"/>
              <wp:lineTo x="0" y="7033"/>
              <wp:lineTo x="587" y="8540"/>
              <wp:lineTo x="587" y="16074"/>
              <wp:lineTo x="3963" y="17079"/>
              <wp:lineTo x="4036" y="20093"/>
              <wp:lineTo x="14971" y="21098"/>
              <wp:lineTo x="21502" y="21098"/>
              <wp:lineTo x="21502" y="0"/>
              <wp:lineTo x="14971" y="0"/>
            </wp:wrapPolygon>
          </wp:wrapThrough>
          <wp:docPr id="8" name="Imagen 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n 130"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07338" cy="81919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3DF57" w14:textId="77777777" w:rsidR="00E01AFA" w:rsidRDefault="00E01AFA">
      <w:r>
        <w:separator/>
      </w:r>
    </w:p>
  </w:footnote>
  <w:footnote w:type="continuationSeparator" w:id="0">
    <w:p w14:paraId="202EBB7F" w14:textId="77777777" w:rsidR="00E01AFA" w:rsidRDefault="00E01A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6D1ADAE9" w14:textId="27658CD3" w:rsidR="00017B24" w:rsidRDefault="00017B24">
        <w:pPr>
          <w:pStyle w:val="Encabezado"/>
          <w:jc w:val="right"/>
        </w:pPr>
        <w:r w:rsidRPr="006825E5">
          <w:rPr>
            <w:sz w:val="18"/>
            <w:szCs w:val="18"/>
            <w:lang w:val="es-ES"/>
          </w:rPr>
          <w:t>Página</w:t>
        </w:r>
        <w:r>
          <w:rPr>
            <w:lang w:val="es-ES"/>
          </w:rPr>
          <w:t xml:space="preserve"> </w:t>
        </w:r>
        <w:r w:rsidRPr="006825E5">
          <w:rPr>
            <w:b/>
            <w:bCs/>
            <w:sz w:val="18"/>
            <w:szCs w:val="18"/>
          </w:rPr>
          <w:fldChar w:fldCharType="begin"/>
        </w:r>
        <w:r w:rsidRPr="006825E5">
          <w:rPr>
            <w:b/>
            <w:bCs/>
            <w:sz w:val="18"/>
            <w:szCs w:val="18"/>
          </w:rPr>
          <w:instrText>PAGE</w:instrText>
        </w:r>
        <w:r w:rsidRPr="006825E5">
          <w:rPr>
            <w:b/>
            <w:bCs/>
            <w:sz w:val="18"/>
            <w:szCs w:val="18"/>
          </w:rPr>
          <w:fldChar w:fldCharType="separate"/>
        </w:r>
        <w:r w:rsidR="00EE7008">
          <w:rPr>
            <w:b/>
            <w:bCs/>
            <w:noProof/>
            <w:sz w:val="18"/>
            <w:szCs w:val="18"/>
          </w:rPr>
          <w:t>4</w:t>
        </w:r>
        <w:r w:rsidRPr="006825E5">
          <w:rPr>
            <w:b/>
            <w:bCs/>
            <w:sz w:val="18"/>
            <w:szCs w:val="18"/>
          </w:rPr>
          <w:fldChar w:fldCharType="end"/>
        </w:r>
        <w:r w:rsidRPr="006825E5">
          <w:rPr>
            <w:sz w:val="18"/>
            <w:szCs w:val="18"/>
            <w:lang w:val="es-ES"/>
          </w:rPr>
          <w:t xml:space="preserve"> de </w:t>
        </w:r>
        <w:r w:rsidRPr="006825E5">
          <w:rPr>
            <w:b/>
            <w:bCs/>
            <w:sz w:val="18"/>
            <w:szCs w:val="18"/>
          </w:rPr>
          <w:fldChar w:fldCharType="begin"/>
        </w:r>
        <w:r w:rsidRPr="006825E5">
          <w:rPr>
            <w:b/>
            <w:bCs/>
            <w:sz w:val="18"/>
            <w:szCs w:val="18"/>
          </w:rPr>
          <w:instrText>NUMPAGES</w:instrText>
        </w:r>
        <w:r w:rsidRPr="006825E5">
          <w:rPr>
            <w:b/>
            <w:bCs/>
            <w:sz w:val="18"/>
            <w:szCs w:val="18"/>
          </w:rPr>
          <w:fldChar w:fldCharType="separate"/>
        </w:r>
        <w:r w:rsidR="00EE7008">
          <w:rPr>
            <w:b/>
            <w:bCs/>
            <w:noProof/>
            <w:sz w:val="18"/>
            <w:szCs w:val="18"/>
          </w:rPr>
          <w:t>4</w:t>
        </w:r>
        <w:r w:rsidRPr="006825E5">
          <w:rPr>
            <w:b/>
            <w:bCs/>
            <w:sz w:val="18"/>
            <w:szCs w:val="18"/>
          </w:rPr>
          <w:fldChar w:fldCharType="end"/>
        </w:r>
      </w:p>
    </w:sdtContent>
  </w:sdt>
  <w:p w14:paraId="7C473589" w14:textId="4103151D" w:rsidR="00017B24" w:rsidRDefault="00017B24" w:rsidP="006825E5">
    <w:pPr>
      <w:pStyle w:val="Encabezado"/>
      <w:jc w:val="center"/>
    </w:pPr>
    <w:r>
      <w:rPr>
        <w:noProof/>
        <w:lang w:eastAsia="es-CO"/>
      </w:rPr>
      <w:drawing>
        <wp:inline distT="0" distB="0" distL="0" distR="0" wp14:anchorId="2E4DD1E1" wp14:editId="23B80533">
          <wp:extent cx="3302170" cy="1257365"/>
          <wp:effectExtent l="0" t="0" r="0" b="0"/>
          <wp:docPr id="7" name="Imagen 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n 5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302170" cy="1257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816"/>
    <w:multiLevelType w:val="hybridMultilevel"/>
    <w:tmpl w:val="5E36979C"/>
    <w:lvl w:ilvl="0" w:tplc="240A0017">
      <w:start w:val="1"/>
      <w:numFmt w:val="lowerLetter"/>
      <w:lvlText w:val="%1)"/>
      <w:lvlJc w:val="left"/>
      <w:pPr>
        <w:ind w:left="780" w:hanging="360"/>
      </w:pPr>
      <w:rPr>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 w15:restartNumberingAfterBreak="0">
    <w:nsid w:val="01722DAE"/>
    <w:multiLevelType w:val="hybridMultilevel"/>
    <w:tmpl w:val="461E4184"/>
    <w:lvl w:ilvl="0" w:tplc="240A0017">
      <w:start w:val="1"/>
      <w:numFmt w:val="lowerLetter"/>
      <w:lvlText w:val="%1)"/>
      <w:lvlJc w:val="left"/>
      <w:pPr>
        <w:ind w:left="1080" w:hanging="360"/>
      </w:pPr>
      <w:rPr>
        <w:b/>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BE61D01"/>
    <w:multiLevelType w:val="hybridMultilevel"/>
    <w:tmpl w:val="758281A6"/>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347500"/>
    <w:multiLevelType w:val="hybridMultilevel"/>
    <w:tmpl w:val="96B41F08"/>
    <w:lvl w:ilvl="0" w:tplc="EFBA318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D6E6F"/>
    <w:multiLevelType w:val="hybridMultilevel"/>
    <w:tmpl w:val="AD16D802"/>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206E2D"/>
    <w:multiLevelType w:val="hybridMultilevel"/>
    <w:tmpl w:val="2BD61D16"/>
    <w:lvl w:ilvl="0" w:tplc="6694A09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EE3BB4"/>
    <w:multiLevelType w:val="hybridMultilevel"/>
    <w:tmpl w:val="5BEE3734"/>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4165B0A"/>
    <w:multiLevelType w:val="hybridMultilevel"/>
    <w:tmpl w:val="59AA30BC"/>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78F3806"/>
    <w:multiLevelType w:val="hybridMultilevel"/>
    <w:tmpl w:val="08AC1A02"/>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7B93731"/>
    <w:multiLevelType w:val="hybridMultilevel"/>
    <w:tmpl w:val="9C701BC6"/>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8286648"/>
    <w:multiLevelType w:val="hybridMultilevel"/>
    <w:tmpl w:val="41769C28"/>
    <w:lvl w:ilvl="0" w:tplc="6694A09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D625F30"/>
    <w:multiLevelType w:val="hybridMultilevel"/>
    <w:tmpl w:val="09DEE04E"/>
    <w:lvl w:ilvl="0" w:tplc="AF76C6D0">
      <w:start w:val="1"/>
      <w:numFmt w:val="decimal"/>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57EC3E1D"/>
    <w:multiLevelType w:val="hybridMultilevel"/>
    <w:tmpl w:val="41769C28"/>
    <w:lvl w:ilvl="0" w:tplc="6694A09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5095D37"/>
    <w:multiLevelType w:val="hybridMultilevel"/>
    <w:tmpl w:val="2EAAAC48"/>
    <w:lvl w:ilvl="0" w:tplc="240A0017">
      <w:start w:val="1"/>
      <w:numFmt w:val="lowerLetter"/>
      <w:lvlText w:val="%1)"/>
      <w:lvlJc w:val="left"/>
      <w:pPr>
        <w:ind w:left="780" w:hanging="360"/>
      </w:pPr>
      <w:rPr>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4" w15:restartNumberingAfterBreak="0">
    <w:nsid w:val="68611B03"/>
    <w:multiLevelType w:val="hybridMultilevel"/>
    <w:tmpl w:val="758281A6"/>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ED65933"/>
    <w:multiLevelType w:val="hybridMultilevel"/>
    <w:tmpl w:val="99502E0E"/>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C531CB"/>
    <w:multiLevelType w:val="hybridMultilevel"/>
    <w:tmpl w:val="053E7938"/>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ED62C52"/>
    <w:multiLevelType w:val="hybridMultilevel"/>
    <w:tmpl w:val="558A2644"/>
    <w:lvl w:ilvl="0" w:tplc="580A000F">
      <w:start w:val="1"/>
      <w:numFmt w:val="decimal"/>
      <w:lvlText w:val="%1."/>
      <w:lvlJc w:val="left"/>
      <w:pPr>
        <w:ind w:left="720" w:hanging="360"/>
      </w:pPr>
      <w:rPr>
        <w:b/>
      </w:rPr>
    </w:lvl>
    <w:lvl w:ilvl="1" w:tplc="58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EFF401A"/>
    <w:multiLevelType w:val="hybridMultilevel"/>
    <w:tmpl w:val="B5F2A662"/>
    <w:lvl w:ilvl="0" w:tplc="6694A09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13"/>
  </w:num>
  <w:num w:numId="4">
    <w:abstractNumId w:val="5"/>
  </w:num>
  <w:num w:numId="5">
    <w:abstractNumId w:val="8"/>
  </w:num>
  <w:num w:numId="6">
    <w:abstractNumId w:val="4"/>
  </w:num>
  <w:num w:numId="7">
    <w:abstractNumId w:val="18"/>
  </w:num>
  <w:num w:numId="8">
    <w:abstractNumId w:val="16"/>
  </w:num>
  <w:num w:numId="9">
    <w:abstractNumId w:val="9"/>
  </w:num>
  <w:num w:numId="10">
    <w:abstractNumId w:val="15"/>
  </w:num>
  <w:num w:numId="11">
    <w:abstractNumId w:val="7"/>
  </w:num>
  <w:num w:numId="12">
    <w:abstractNumId w:val="2"/>
  </w:num>
  <w:num w:numId="13">
    <w:abstractNumId w:val="1"/>
  </w:num>
  <w:num w:numId="14">
    <w:abstractNumId w:val="10"/>
  </w:num>
  <w:num w:numId="15">
    <w:abstractNumId w:val="3"/>
  </w:num>
  <w:num w:numId="16">
    <w:abstractNumId w:val="14"/>
  </w:num>
  <w:num w:numId="17">
    <w:abstractNumId w:val="17"/>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tP4hebm9dVCWyFyhPCepOvf8VL6UVlkW6Eof7Nrm4TxyqjWTihaglXwtITnRdk3/CIOxsVEN/Fw74Bt8skl0kw==" w:salt="gDxfRBsN1lZ8yDarK9R8Dw=="/>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9023E"/>
    <w:rsid w:val="00003300"/>
    <w:rsid w:val="00004316"/>
    <w:rsid w:val="00013E96"/>
    <w:rsid w:val="000150E8"/>
    <w:rsid w:val="00017B24"/>
    <w:rsid w:val="000327EF"/>
    <w:rsid w:val="00037266"/>
    <w:rsid w:val="000557FB"/>
    <w:rsid w:val="00056D86"/>
    <w:rsid w:val="00071667"/>
    <w:rsid w:val="000757F9"/>
    <w:rsid w:val="00080266"/>
    <w:rsid w:val="000809E8"/>
    <w:rsid w:val="00083ABB"/>
    <w:rsid w:val="00085B36"/>
    <w:rsid w:val="00086665"/>
    <w:rsid w:val="000A17E7"/>
    <w:rsid w:val="000B1C4E"/>
    <w:rsid w:val="000B25AF"/>
    <w:rsid w:val="000B5C75"/>
    <w:rsid w:val="000B758C"/>
    <w:rsid w:val="000D4053"/>
    <w:rsid w:val="000D4882"/>
    <w:rsid w:val="000E05A5"/>
    <w:rsid w:val="000E286F"/>
    <w:rsid w:val="000E43A9"/>
    <w:rsid w:val="000E6540"/>
    <w:rsid w:val="000F3515"/>
    <w:rsid w:val="00101399"/>
    <w:rsid w:val="00101CF5"/>
    <w:rsid w:val="00104184"/>
    <w:rsid w:val="00114F64"/>
    <w:rsid w:val="00121695"/>
    <w:rsid w:val="00122B7E"/>
    <w:rsid w:val="00123CB8"/>
    <w:rsid w:val="0013078C"/>
    <w:rsid w:val="0013439D"/>
    <w:rsid w:val="0013649B"/>
    <w:rsid w:val="00136CB3"/>
    <w:rsid w:val="00147568"/>
    <w:rsid w:val="00157933"/>
    <w:rsid w:val="001631C9"/>
    <w:rsid w:val="00175AAD"/>
    <w:rsid w:val="00176128"/>
    <w:rsid w:val="00186715"/>
    <w:rsid w:val="00186F55"/>
    <w:rsid w:val="0019115E"/>
    <w:rsid w:val="00193552"/>
    <w:rsid w:val="001937F4"/>
    <w:rsid w:val="00196A11"/>
    <w:rsid w:val="001A2FF8"/>
    <w:rsid w:val="001A47A3"/>
    <w:rsid w:val="001A66BC"/>
    <w:rsid w:val="001B060F"/>
    <w:rsid w:val="001B06AB"/>
    <w:rsid w:val="001B3E32"/>
    <w:rsid w:val="001C0B52"/>
    <w:rsid w:val="001C25EF"/>
    <w:rsid w:val="001C45AC"/>
    <w:rsid w:val="001D474C"/>
    <w:rsid w:val="001E266E"/>
    <w:rsid w:val="001E2E47"/>
    <w:rsid w:val="001F4167"/>
    <w:rsid w:val="001F53E6"/>
    <w:rsid w:val="0020098A"/>
    <w:rsid w:val="00205A65"/>
    <w:rsid w:val="002112CB"/>
    <w:rsid w:val="00212078"/>
    <w:rsid w:val="00222022"/>
    <w:rsid w:val="00223FF9"/>
    <w:rsid w:val="002244BA"/>
    <w:rsid w:val="00224555"/>
    <w:rsid w:val="002306CB"/>
    <w:rsid w:val="00234A10"/>
    <w:rsid w:val="00240190"/>
    <w:rsid w:val="002417B2"/>
    <w:rsid w:val="00241AB2"/>
    <w:rsid w:val="00241C9B"/>
    <w:rsid w:val="00242946"/>
    <w:rsid w:val="002438AA"/>
    <w:rsid w:val="002501C7"/>
    <w:rsid w:val="00253EEF"/>
    <w:rsid w:val="0025438A"/>
    <w:rsid w:val="00256AA6"/>
    <w:rsid w:val="0028207F"/>
    <w:rsid w:val="002A32A7"/>
    <w:rsid w:val="002B285E"/>
    <w:rsid w:val="002B769F"/>
    <w:rsid w:val="002D5118"/>
    <w:rsid w:val="002E0E6A"/>
    <w:rsid w:val="002E1142"/>
    <w:rsid w:val="002E7F80"/>
    <w:rsid w:val="002F1A3D"/>
    <w:rsid w:val="002F1D59"/>
    <w:rsid w:val="002F265E"/>
    <w:rsid w:val="00303745"/>
    <w:rsid w:val="00303C9B"/>
    <w:rsid w:val="00305A3B"/>
    <w:rsid w:val="00311ABE"/>
    <w:rsid w:val="00312F70"/>
    <w:rsid w:val="003152AD"/>
    <w:rsid w:val="003202FD"/>
    <w:rsid w:val="0032234C"/>
    <w:rsid w:val="003244E0"/>
    <w:rsid w:val="003276C7"/>
    <w:rsid w:val="0033228C"/>
    <w:rsid w:val="003438FD"/>
    <w:rsid w:val="00343C8D"/>
    <w:rsid w:val="003544F0"/>
    <w:rsid w:val="00357BA5"/>
    <w:rsid w:val="00360D88"/>
    <w:rsid w:val="003710E6"/>
    <w:rsid w:val="003773F4"/>
    <w:rsid w:val="003A1FE2"/>
    <w:rsid w:val="003A3FEF"/>
    <w:rsid w:val="003B613B"/>
    <w:rsid w:val="003B69F9"/>
    <w:rsid w:val="003C083E"/>
    <w:rsid w:val="003D0501"/>
    <w:rsid w:val="003D0E02"/>
    <w:rsid w:val="003D5624"/>
    <w:rsid w:val="003E52BE"/>
    <w:rsid w:val="003F7BC0"/>
    <w:rsid w:val="00401981"/>
    <w:rsid w:val="00407B65"/>
    <w:rsid w:val="00410796"/>
    <w:rsid w:val="004150F8"/>
    <w:rsid w:val="00425623"/>
    <w:rsid w:val="00436C51"/>
    <w:rsid w:val="00444F14"/>
    <w:rsid w:val="00451A39"/>
    <w:rsid w:val="0045776E"/>
    <w:rsid w:val="004600C3"/>
    <w:rsid w:val="00461C3A"/>
    <w:rsid w:val="004635C7"/>
    <w:rsid w:val="00475AF5"/>
    <w:rsid w:val="004804E6"/>
    <w:rsid w:val="00483115"/>
    <w:rsid w:val="00484411"/>
    <w:rsid w:val="00484D6C"/>
    <w:rsid w:val="0048670D"/>
    <w:rsid w:val="004A4C7B"/>
    <w:rsid w:val="004B46E1"/>
    <w:rsid w:val="004B652D"/>
    <w:rsid w:val="004B7C51"/>
    <w:rsid w:val="004C4001"/>
    <w:rsid w:val="004C58B7"/>
    <w:rsid w:val="004D7DA5"/>
    <w:rsid w:val="004E25D4"/>
    <w:rsid w:val="004E42BD"/>
    <w:rsid w:val="004E46C8"/>
    <w:rsid w:val="0050351E"/>
    <w:rsid w:val="005054DA"/>
    <w:rsid w:val="00505DAB"/>
    <w:rsid w:val="005073CD"/>
    <w:rsid w:val="00516CDB"/>
    <w:rsid w:val="0051710E"/>
    <w:rsid w:val="00523A9B"/>
    <w:rsid w:val="00527503"/>
    <w:rsid w:val="00527853"/>
    <w:rsid w:val="00534B1D"/>
    <w:rsid w:val="00537236"/>
    <w:rsid w:val="00567338"/>
    <w:rsid w:val="0057330C"/>
    <w:rsid w:val="00574FB0"/>
    <w:rsid w:val="00575575"/>
    <w:rsid w:val="00577F95"/>
    <w:rsid w:val="00581016"/>
    <w:rsid w:val="00581826"/>
    <w:rsid w:val="00587FDE"/>
    <w:rsid w:val="005905E0"/>
    <w:rsid w:val="00592316"/>
    <w:rsid w:val="005950CA"/>
    <w:rsid w:val="005966B8"/>
    <w:rsid w:val="005A3552"/>
    <w:rsid w:val="005B051D"/>
    <w:rsid w:val="005B0E75"/>
    <w:rsid w:val="005B65A2"/>
    <w:rsid w:val="005C41B8"/>
    <w:rsid w:val="005D0A61"/>
    <w:rsid w:val="005D3CFF"/>
    <w:rsid w:val="005D56FA"/>
    <w:rsid w:val="005D7C41"/>
    <w:rsid w:val="005E020D"/>
    <w:rsid w:val="005F53DD"/>
    <w:rsid w:val="005F6CB7"/>
    <w:rsid w:val="005F6F44"/>
    <w:rsid w:val="005F6F48"/>
    <w:rsid w:val="00600D36"/>
    <w:rsid w:val="00607FAF"/>
    <w:rsid w:val="006103C7"/>
    <w:rsid w:val="00611B0D"/>
    <w:rsid w:val="00622252"/>
    <w:rsid w:val="0062447F"/>
    <w:rsid w:val="0063153B"/>
    <w:rsid w:val="00632EB3"/>
    <w:rsid w:val="006373E5"/>
    <w:rsid w:val="00641F27"/>
    <w:rsid w:val="0064636E"/>
    <w:rsid w:val="00653DCE"/>
    <w:rsid w:val="00661C0D"/>
    <w:rsid w:val="0066335D"/>
    <w:rsid w:val="00663BA3"/>
    <w:rsid w:val="0067249B"/>
    <w:rsid w:val="00673D0C"/>
    <w:rsid w:val="00675497"/>
    <w:rsid w:val="00675DC7"/>
    <w:rsid w:val="00676B40"/>
    <w:rsid w:val="00676CA2"/>
    <w:rsid w:val="006825E5"/>
    <w:rsid w:val="00693F2A"/>
    <w:rsid w:val="00694BED"/>
    <w:rsid w:val="00695553"/>
    <w:rsid w:val="00696637"/>
    <w:rsid w:val="006A6353"/>
    <w:rsid w:val="006B0D2E"/>
    <w:rsid w:val="006B11A6"/>
    <w:rsid w:val="006B2482"/>
    <w:rsid w:val="006B3ED0"/>
    <w:rsid w:val="006B40E6"/>
    <w:rsid w:val="006B65EA"/>
    <w:rsid w:val="006C018A"/>
    <w:rsid w:val="006C19F7"/>
    <w:rsid w:val="006C28D1"/>
    <w:rsid w:val="006C3F94"/>
    <w:rsid w:val="006E499F"/>
    <w:rsid w:val="006F1A44"/>
    <w:rsid w:val="006F4DD8"/>
    <w:rsid w:val="006F6ABD"/>
    <w:rsid w:val="007013E2"/>
    <w:rsid w:val="0070183D"/>
    <w:rsid w:val="00704044"/>
    <w:rsid w:val="00716026"/>
    <w:rsid w:val="00725BDB"/>
    <w:rsid w:val="0073790A"/>
    <w:rsid w:val="00746018"/>
    <w:rsid w:val="007471B4"/>
    <w:rsid w:val="00751FD2"/>
    <w:rsid w:val="0075758C"/>
    <w:rsid w:val="00757FC8"/>
    <w:rsid w:val="0076462E"/>
    <w:rsid w:val="00765823"/>
    <w:rsid w:val="0077025C"/>
    <w:rsid w:val="007740DC"/>
    <w:rsid w:val="007772C4"/>
    <w:rsid w:val="00782925"/>
    <w:rsid w:val="00782BBA"/>
    <w:rsid w:val="007843C7"/>
    <w:rsid w:val="0079363B"/>
    <w:rsid w:val="0079381F"/>
    <w:rsid w:val="00794E1C"/>
    <w:rsid w:val="0079729B"/>
    <w:rsid w:val="00797819"/>
    <w:rsid w:val="007B4AF6"/>
    <w:rsid w:val="007C0F6A"/>
    <w:rsid w:val="007C50EB"/>
    <w:rsid w:val="007C510D"/>
    <w:rsid w:val="007D42CE"/>
    <w:rsid w:val="007D5E5F"/>
    <w:rsid w:val="007E194C"/>
    <w:rsid w:val="007E47B1"/>
    <w:rsid w:val="00810B87"/>
    <w:rsid w:val="008302A5"/>
    <w:rsid w:val="008469D9"/>
    <w:rsid w:val="00851144"/>
    <w:rsid w:val="008513F1"/>
    <w:rsid w:val="00852E46"/>
    <w:rsid w:val="0085770C"/>
    <w:rsid w:val="00864978"/>
    <w:rsid w:val="00876085"/>
    <w:rsid w:val="008763FB"/>
    <w:rsid w:val="00877318"/>
    <w:rsid w:val="00886C2D"/>
    <w:rsid w:val="0089023E"/>
    <w:rsid w:val="00893C0F"/>
    <w:rsid w:val="008A0778"/>
    <w:rsid w:val="008A08F6"/>
    <w:rsid w:val="008A2FC1"/>
    <w:rsid w:val="008B3607"/>
    <w:rsid w:val="008C5348"/>
    <w:rsid w:val="008C7C18"/>
    <w:rsid w:val="008D1BB7"/>
    <w:rsid w:val="008D5183"/>
    <w:rsid w:val="008D573C"/>
    <w:rsid w:val="008E059C"/>
    <w:rsid w:val="008E3223"/>
    <w:rsid w:val="008E4976"/>
    <w:rsid w:val="008E4BCE"/>
    <w:rsid w:val="008E4C21"/>
    <w:rsid w:val="008E5576"/>
    <w:rsid w:val="00900BD7"/>
    <w:rsid w:val="009024C5"/>
    <w:rsid w:val="00914236"/>
    <w:rsid w:val="009234AD"/>
    <w:rsid w:val="009312E8"/>
    <w:rsid w:val="00936E07"/>
    <w:rsid w:val="00937CB1"/>
    <w:rsid w:val="0095144A"/>
    <w:rsid w:val="009570B5"/>
    <w:rsid w:val="009643CF"/>
    <w:rsid w:val="00970CDB"/>
    <w:rsid w:val="00972942"/>
    <w:rsid w:val="00976189"/>
    <w:rsid w:val="00987339"/>
    <w:rsid w:val="009916E2"/>
    <w:rsid w:val="00991EBD"/>
    <w:rsid w:val="00997325"/>
    <w:rsid w:val="00997AF3"/>
    <w:rsid w:val="009A0CCB"/>
    <w:rsid w:val="009A505E"/>
    <w:rsid w:val="009A55A0"/>
    <w:rsid w:val="009A5B01"/>
    <w:rsid w:val="009B2A8D"/>
    <w:rsid w:val="009C1570"/>
    <w:rsid w:val="009C1DE2"/>
    <w:rsid w:val="009C4D13"/>
    <w:rsid w:val="009D1662"/>
    <w:rsid w:val="009D2DD9"/>
    <w:rsid w:val="009D4A38"/>
    <w:rsid w:val="009D5649"/>
    <w:rsid w:val="009E1B05"/>
    <w:rsid w:val="009E1F25"/>
    <w:rsid w:val="009E2537"/>
    <w:rsid w:val="009E4A0D"/>
    <w:rsid w:val="009F63ED"/>
    <w:rsid w:val="00A00AAD"/>
    <w:rsid w:val="00A03D31"/>
    <w:rsid w:val="00A06E3D"/>
    <w:rsid w:val="00A11FD3"/>
    <w:rsid w:val="00A202B6"/>
    <w:rsid w:val="00A20475"/>
    <w:rsid w:val="00A255FA"/>
    <w:rsid w:val="00A2613C"/>
    <w:rsid w:val="00A26B41"/>
    <w:rsid w:val="00A30374"/>
    <w:rsid w:val="00A30998"/>
    <w:rsid w:val="00A456FA"/>
    <w:rsid w:val="00A47931"/>
    <w:rsid w:val="00A54963"/>
    <w:rsid w:val="00A56C90"/>
    <w:rsid w:val="00A5706F"/>
    <w:rsid w:val="00A666E2"/>
    <w:rsid w:val="00A74894"/>
    <w:rsid w:val="00A7568C"/>
    <w:rsid w:val="00A7630F"/>
    <w:rsid w:val="00A77D5A"/>
    <w:rsid w:val="00A816F1"/>
    <w:rsid w:val="00A91701"/>
    <w:rsid w:val="00A957E8"/>
    <w:rsid w:val="00A9594F"/>
    <w:rsid w:val="00A97DB5"/>
    <w:rsid w:val="00AA2B80"/>
    <w:rsid w:val="00AB00EE"/>
    <w:rsid w:val="00AD76CF"/>
    <w:rsid w:val="00AE062C"/>
    <w:rsid w:val="00AE1FB3"/>
    <w:rsid w:val="00AE3222"/>
    <w:rsid w:val="00AE4E43"/>
    <w:rsid w:val="00AF137B"/>
    <w:rsid w:val="00AF4FC1"/>
    <w:rsid w:val="00B03FB8"/>
    <w:rsid w:val="00B048C2"/>
    <w:rsid w:val="00B111FA"/>
    <w:rsid w:val="00B120BC"/>
    <w:rsid w:val="00B15188"/>
    <w:rsid w:val="00B20978"/>
    <w:rsid w:val="00B27FDE"/>
    <w:rsid w:val="00B3136A"/>
    <w:rsid w:val="00B34FD1"/>
    <w:rsid w:val="00B479C2"/>
    <w:rsid w:val="00B53C32"/>
    <w:rsid w:val="00B55E43"/>
    <w:rsid w:val="00B60F31"/>
    <w:rsid w:val="00B62E6F"/>
    <w:rsid w:val="00B63C79"/>
    <w:rsid w:val="00B92418"/>
    <w:rsid w:val="00B936D2"/>
    <w:rsid w:val="00BA3D19"/>
    <w:rsid w:val="00BA46F1"/>
    <w:rsid w:val="00BB399D"/>
    <w:rsid w:val="00BB6A1B"/>
    <w:rsid w:val="00BC4198"/>
    <w:rsid w:val="00BD08D1"/>
    <w:rsid w:val="00BE062A"/>
    <w:rsid w:val="00BE1726"/>
    <w:rsid w:val="00BF3902"/>
    <w:rsid w:val="00BF3ADD"/>
    <w:rsid w:val="00BF4CAA"/>
    <w:rsid w:val="00C204C2"/>
    <w:rsid w:val="00C20552"/>
    <w:rsid w:val="00C26BE6"/>
    <w:rsid w:val="00C26E62"/>
    <w:rsid w:val="00C36D12"/>
    <w:rsid w:val="00C40139"/>
    <w:rsid w:val="00C43506"/>
    <w:rsid w:val="00C46964"/>
    <w:rsid w:val="00C57DEF"/>
    <w:rsid w:val="00C67F25"/>
    <w:rsid w:val="00C701BC"/>
    <w:rsid w:val="00C736DD"/>
    <w:rsid w:val="00C74E87"/>
    <w:rsid w:val="00C80132"/>
    <w:rsid w:val="00C80A90"/>
    <w:rsid w:val="00C84245"/>
    <w:rsid w:val="00C92D2D"/>
    <w:rsid w:val="00CA3B57"/>
    <w:rsid w:val="00CA3D6F"/>
    <w:rsid w:val="00CA587C"/>
    <w:rsid w:val="00CE0262"/>
    <w:rsid w:val="00CE137C"/>
    <w:rsid w:val="00CE3F73"/>
    <w:rsid w:val="00D016B1"/>
    <w:rsid w:val="00D0326C"/>
    <w:rsid w:val="00D03E90"/>
    <w:rsid w:val="00D11861"/>
    <w:rsid w:val="00D13D13"/>
    <w:rsid w:val="00D21C74"/>
    <w:rsid w:val="00D21D74"/>
    <w:rsid w:val="00D306D0"/>
    <w:rsid w:val="00D33CA8"/>
    <w:rsid w:val="00D41149"/>
    <w:rsid w:val="00D453AA"/>
    <w:rsid w:val="00D53632"/>
    <w:rsid w:val="00D56E40"/>
    <w:rsid w:val="00D6081F"/>
    <w:rsid w:val="00D639D2"/>
    <w:rsid w:val="00D64824"/>
    <w:rsid w:val="00D65BF4"/>
    <w:rsid w:val="00D65D57"/>
    <w:rsid w:val="00D840E5"/>
    <w:rsid w:val="00D91717"/>
    <w:rsid w:val="00D91806"/>
    <w:rsid w:val="00DA44AD"/>
    <w:rsid w:val="00DA4563"/>
    <w:rsid w:val="00DA5290"/>
    <w:rsid w:val="00DB03E7"/>
    <w:rsid w:val="00DB2679"/>
    <w:rsid w:val="00DC42A5"/>
    <w:rsid w:val="00DD1277"/>
    <w:rsid w:val="00DD57CB"/>
    <w:rsid w:val="00DE0F86"/>
    <w:rsid w:val="00DE3997"/>
    <w:rsid w:val="00DF017F"/>
    <w:rsid w:val="00DF1A3F"/>
    <w:rsid w:val="00DF2ECC"/>
    <w:rsid w:val="00DF7534"/>
    <w:rsid w:val="00E01AFA"/>
    <w:rsid w:val="00E01C47"/>
    <w:rsid w:val="00E039FA"/>
    <w:rsid w:val="00E040B9"/>
    <w:rsid w:val="00E063B8"/>
    <w:rsid w:val="00E13D66"/>
    <w:rsid w:val="00E13DDB"/>
    <w:rsid w:val="00E217FE"/>
    <w:rsid w:val="00E22A04"/>
    <w:rsid w:val="00E23A7A"/>
    <w:rsid w:val="00E275E5"/>
    <w:rsid w:val="00E27CEB"/>
    <w:rsid w:val="00E3582E"/>
    <w:rsid w:val="00E46B91"/>
    <w:rsid w:val="00E47F40"/>
    <w:rsid w:val="00E50195"/>
    <w:rsid w:val="00E57A72"/>
    <w:rsid w:val="00E62BB3"/>
    <w:rsid w:val="00E66003"/>
    <w:rsid w:val="00E669D2"/>
    <w:rsid w:val="00E708F3"/>
    <w:rsid w:val="00E71077"/>
    <w:rsid w:val="00E7321E"/>
    <w:rsid w:val="00E814B6"/>
    <w:rsid w:val="00E83EB4"/>
    <w:rsid w:val="00E867DB"/>
    <w:rsid w:val="00E90D2E"/>
    <w:rsid w:val="00E92321"/>
    <w:rsid w:val="00EA4F83"/>
    <w:rsid w:val="00EC4BC6"/>
    <w:rsid w:val="00ED1C95"/>
    <w:rsid w:val="00EE65B7"/>
    <w:rsid w:val="00EE7008"/>
    <w:rsid w:val="00EF1448"/>
    <w:rsid w:val="00EF33C6"/>
    <w:rsid w:val="00EF5738"/>
    <w:rsid w:val="00F01F32"/>
    <w:rsid w:val="00F0564C"/>
    <w:rsid w:val="00F071DE"/>
    <w:rsid w:val="00F122F7"/>
    <w:rsid w:val="00F17278"/>
    <w:rsid w:val="00F17F6C"/>
    <w:rsid w:val="00F22B17"/>
    <w:rsid w:val="00F24DC2"/>
    <w:rsid w:val="00F25439"/>
    <w:rsid w:val="00F3051B"/>
    <w:rsid w:val="00F44671"/>
    <w:rsid w:val="00F51CDF"/>
    <w:rsid w:val="00F53F04"/>
    <w:rsid w:val="00F633B6"/>
    <w:rsid w:val="00F770A4"/>
    <w:rsid w:val="00F81969"/>
    <w:rsid w:val="00F8287B"/>
    <w:rsid w:val="00F83E75"/>
    <w:rsid w:val="00F954A0"/>
    <w:rsid w:val="00F96CDB"/>
    <w:rsid w:val="00FA3263"/>
    <w:rsid w:val="00FA73E9"/>
    <w:rsid w:val="00FB0072"/>
    <w:rsid w:val="00FB1637"/>
    <w:rsid w:val="00FB33D1"/>
    <w:rsid w:val="00FC3E67"/>
    <w:rsid w:val="00FD4946"/>
    <w:rsid w:val="00FD796E"/>
    <w:rsid w:val="00FE234A"/>
    <w:rsid w:val="00FE6E82"/>
    <w:rsid w:val="00FE6FE6"/>
    <w:rsid w:val="00FF1A22"/>
    <w:rsid w:val="00FF2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589FB"/>
  <w15:docId w15:val="{5EA0BD18-8E22-4886-90E5-C7114969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CO"/>
    </w:rPr>
  </w:style>
  <w:style w:type="paragraph" w:styleId="Ttulo1">
    <w:name w:val="heading 1"/>
    <w:basedOn w:val="Normal"/>
    <w:uiPriority w:val="9"/>
    <w:qFormat/>
    <w:pPr>
      <w:spacing w:before="1"/>
      <w:ind w:left="339" w:right="339"/>
      <w:jc w:val="center"/>
      <w:outlineLvl w:val="0"/>
    </w:pPr>
    <w:rPr>
      <w:b/>
      <w:bCs/>
      <w:sz w:val="24"/>
      <w:szCs w:val="24"/>
    </w:rPr>
  </w:style>
  <w:style w:type="paragraph" w:styleId="Ttulo2">
    <w:name w:val="heading 2"/>
    <w:basedOn w:val="Normal"/>
    <w:next w:val="Normal"/>
    <w:link w:val="Ttulo2Car"/>
    <w:uiPriority w:val="9"/>
    <w:semiHidden/>
    <w:unhideWhenUsed/>
    <w:qFormat/>
    <w:rsid w:val="003E52B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aliases w:val="Bullets,titulo 3,List Paragraph"/>
    <w:basedOn w:val="Normal"/>
    <w:link w:val="PrrafodelistaCar"/>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C41B8"/>
    <w:pPr>
      <w:tabs>
        <w:tab w:val="center" w:pos="4252"/>
        <w:tab w:val="right" w:pos="8504"/>
      </w:tabs>
    </w:pPr>
  </w:style>
  <w:style w:type="character" w:customStyle="1" w:styleId="EncabezadoCar">
    <w:name w:val="Encabezado Car"/>
    <w:basedOn w:val="Fuentedeprrafopredeter"/>
    <w:link w:val="Encabezado"/>
    <w:uiPriority w:val="99"/>
    <w:rsid w:val="005C41B8"/>
    <w:rPr>
      <w:rFonts w:ascii="Arial" w:eastAsia="Arial" w:hAnsi="Arial" w:cs="Arial"/>
    </w:rPr>
  </w:style>
  <w:style w:type="paragraph" w:styleId="Piedepgina">
    <w:name w:val="footer"/>
    <w:basedOn w:val="Normal"/>
    <w:link w:val="PiedepginaCar"/>
    <w:uiPriority w:val="99"/>
    <w:unhideWhenUsed/>
    <w:rsid w:val="005C41B8"/>
    <w:pPr>
      <w:tabs>
        <w:tab w:val="center" w:pos="4252"/>
        <w:tab w:val="right" w:pos="8504"/>
      </w:tabs>
    </w:pPr>
  </w:style>
  <w:style w:type="character" w:customStyle="1" w:styleId="PiedepginaCar">
    <w:name w:val="Pie de página Car"/>
    <w:basedOn w:val="Fuentedeprrafopredeter"/>
    <w:link w:val="Piedepgina"/>
    <w:uiPriority w:val="99"/>
    <w:rsid w:val="005C41B8"/>
    <w:rPr>
      <w:rFonts w:ascii="Arial" w:eastAsia="Arial" w:hAnsi="Arial" w:cs="Arial"/>
    </w:rPr>
  </w:style>
  <w:style w:type="character" w:customStyle="1" w:styleId="A6">
    <w:name w:val="A6"/>
    <w:uiPriority w:val="99"/>
    <w:rsid w:val="003E52BE"/>
    <w:rPr>
      <w:rFonts w:cs="Work Sans"/>
      <w:color w:val="000000"/>
      <w:sz w:val="20"/>
      <w:szCs w:val="20"/>
    </w:rPr>
  </w:style>
  <w:style w:type="character" w:customStyle="1" w:styleId="Ttulo2Car">
    <w:name w:val="Título 2 Car"/>
    <w:basedOn w:val="Fuentedeprrafopredeter"/>
    <w:link w:val="Ttulo2"/>
    <w:uiPriority w:val="9"/>
    <w:rsid w:val="003E52BE"/>
    <w:rPr>
      <w:rFonts w:asciiTheme="majorHAnsi" w:eastAsiaTheme="majorEastAsia" w:hAnsiTheme="majorHAnsi" w:cstheme="majorBidi"/>
      <w:color w:val="365F91" w:themeColor="accent1" w:themeShade="BF"/>
      <w:sz w:val="26"/>
      <w:szCs w:val="26"/>
    </w:rPr>
  </w:style>
  <w:style w:type="paragraph" w:customStyle="1" w:styleId="Default">
    <w:name w:val="Default"/>
    <w:rsid w:val="00B20978"/>
    <w:pPr>
      <w:widowControl/>
      <w:adjustRightInd w:val="0"/>
    </w:pPr>
    <w:rPr>
      <w:rFonts w:ascii="Arial" w:hAnsi="Arial" w:cs="Arial"/>
      <w:color w:val="000000"/>
      <w:sz w:val="24"/>
      <w:szCs w:val="24"/>
      <w:lang w:val="es-ES"/>
    </w:rPr>
  </w:style>
  <w:style w:type="character" w:customStyle="1" w:styleId="PrrafodelistaCar">
    <w:name w:val="Párrafo de lista Car"/>
    <w:aliases w:val="Bullets Car,titulo 3 Car,List Paragraph Car"/>
    <w:link w:val="Prrafodelista"/>
    <w:uiPriority w:val="34"/>
    <w:rsid w:val="00B20978"/>
    <w:rPr>
      <w:rFonts w:ascii="Arial" w:eastAsia="Arial" w:hAnsi="Arial" w:cs="Arial"/>
    </w:rPr>
  </w:style>
  <w:style w:type="table" w:styleId="Tablaconcuadrcula">
    <w:name w:val="Table Grid"/>
    <w:basedOn w:val="Tablanormal"/>
    <w:uiPriority w:val="39"/>
    <w:rsid w:val="00193552"/>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A46F1"/>
    <w:rPr>
      <w:sz w:val="20"/>
      <w:szCs w:val="20"/>
    </w:rPr>
  </w:style>
  <w:style w:type="character" w:customStyle="1" w:styleId="TextonotapieCar">
    <w:name w:val="Texto nota pie Car"/>
    <w:basedOn w:val="Fuentedeprrafopredeter"/>
    <w:link w:val="Textonotapie"/>
    <w:uiPriority w:val="99"/>
    <w:semiHidden/>
    <w:rsid w:val="00BA46F1"/>
    <w:rPr>
      <w:rFonts w:ascii="Arial" w:eastAsia="Arial" w:hAnsi="Arial" w:cs="Arial"/>
      <w:sz w:val="20"/>
      <w:szCs w:val="20"/>
      <w:lang w:val="es-CO"/>
    </w:rPr>
  </w:style>
  <w:style w:type="character" w:styleId="Refdenotaalpie">
    <w:name w:val="footnote reference"/>
    <w:basedOn w:val="Fuentedeprrafopredeter"/>
    <w:uiPriority w:val="99"/>
    <w:semiHidden/>
    <w:unhideWhenUsed/>
    <w:rsid w:val="00BA46F1"/>
    <w:rPr>
      <w:vertAlign w:val="superscript"/>
    </w:rPr>
  </w:style>
  <w:style w:type="character" w:styleId="Refdecomentario">
    <w:name w:val="annotation reference"/>
    <w:basedOn w:val="Fuentedeprrafopredeter"/>
    <w:uiPriority w:val="99"/>
    <w:semiHidden/>
    <w:unhideWhenUsed/>
    <w:rsid w:val="003A1FE2"/>
    <w:rPr>
      <w:sz w:val="16"/>
      <w:szCs w:val="16"/>
    </w:rPr>
  </w:style>
  <w:style w:type="paragraph" w:styleId="Textocomentario">
    <w:name w:val="annotation text"/>
    <w:basedOn w:val="Normal"/>
    <w:link w:val="TextocomentarioCar"/>
    <w:uiPriority w:val="99"/>
    <w:semiHidden/>
    <w:unhideWhenUsed/>
    <w:rsid w:val="003A1FE2"/>
    <w:rPr>
      <w:sz w:val="20"/>
      <w:szCs w:val="20"/>
    </w:rPr>
  </w:style>
  <w:style w:type="character" w:customStyle="1" w:styleId="TextocomentarioCar">
    <w:name w:val="Texto comentario Car"/>
    <w:basedOn w:val="Fuentedeprrafopredeter"/>
    <w:link w:val="Textocomentario"/>
    <w:uiPriority w:val="99"/>
    <w:semiHidden/>
    <w:rsid w:val="003A1FE2"/>
    <w:rPr>
      <w:rFonts w:ascii="Arial" w:eastAsia="Arial" w:hAnsi="Arial" w:cs="Arial"/>
      <w:sz w:val="20"/>
      <w:szCs w:val="20"/>
      <w:lang w:val="es-CO"/>
    </w:rPr>
  </w:style>
  <w:style w:type="paragraph" w:styleId="Asuntodelcomentario">
    <w:name w:val="annotation subject"/>
    <w:basedOn w:val="Textocomentario"/>
    <w:next w:val="Textocomentario"/>
    <w:link w:val="AsuntodelcomentarioCar"/>
    <w:uiPriority w:val="99"/>
    <w:semiHidden/>
    <w:unhideWhenUsed/>
    <w:rsid w:val="003A1FE2"/>
    <w:rPr>
      <w:b/>
      <w:bCs/>
    </w:rPr>
  </w:style>
  <w:style w:type="character" w:customStyle="1" w:styleId="AsuntodelcomentarioCar">
    <w:name w:val="Asunto del comentario Car"/>
    <w:basedOn w:val="TextocomentarioCar"/>
    <w:link w:val="Asuntodelcomentario"/>
    <w:uiPriority w:val="99"/>
    <w:semiHidden/>
    <w:rsid w:val="003A1FE2"/>
    <w:rPr>
      <w:rFonts w:ascii="Arial" w:eastAsia="Arial" w:hAnsi="Arial" w:cs="Arial"/>
      <w:b/>
      <w:bCs/>
      <w:sz w:val="20"/>
      <w:szCs w:val="20"/>
      <w:lang w:val="es-CO"/>
    </w:rPr>
  </w:style>
  <w:style w:type="paragraph" w:styleId="Textodeglobo">
    <w:name w:val="Balloon Text"/>
    <w:basedOn w:val="Normal"/>
    <w:link w:val="TextodegloboCar"/>
    <w:uiPriority w:val="99"/>
    <w:semiHidden/>
    <w:unhideWhenUsed/>
    <w:rsid w:val="003A1F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1FE2"/>
    <w:rPr>
      <w:rFonts w:ascii="Segoe UI" w:eastAsia="Arial"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E0EA6-6796-4B75-8153-C5B6443F2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1601</TotalTime>
  <Pages>4</Pages>
  <Words>2161</Words>
  <Characters>11888</Characters>
  <Application>Microsoft Office Word</Application>
  <DocSecurity>8</DocSecurity>
  <Lines>99</Lines>
  <Paragraphs>28</Paragraphs>
  <ScaleCrop>false</ScaleCrop>
  <HeadingPairs>
    <vt:vector size="2" baseType="variant">
      <vt:variant>
        <vt:lpstr>Título</vt:lpstr>
      </vt:variant>
      <vt:variant>
        <vt:i4>1</vt:i4>
      </vt:variant>
    </vt:vector>
  </HeadingPairs>
  <TitlesOfParts>
    <vt:vector size="1" baseType="lpstr">
      <vt:lpstr>OFICIOS</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OFICIOS</dc:title>
  <cp:lastModifiedBy>Ing. John Jairo Silva Munar</cp:lastModifiedBy>
  <cp:revision>552</cp:revision>
  <dcterms:created xsi:type="dcterms:W3CDTF">2021-01-27T14:39:00Z</dcterms:created>
  <dcterms:modified xsi:type="dcterms:W3CDTF">2022-06-06T23:33:00Z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Adobe Illustrator 24.0 (Windows)</vt:lpwstr>
  </property>
  <property fmtid="{D5CDD505-2E9C-101B-9397-08002B2CF9AE}" pid="4" name="LastSaved">
    <vt:filetime>2021-01-27T00:00:00Z</vt:filetime>
  </property>
</Properties>
</file>